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283F2C">
        <w:rPr>
          <w:rFonts w:ascii="Palatino Linotype" w:hAnsi="Palatino Linotype" w:cs="Arial"/>
          <w:b/>
          <w:sz w:val="24"/>
          <w:szCs w:val="24"/>
        </w:rPr>
        <w:t>0</w:t>
      </w:r>
      <w:r w:rsidR="00B21506">
        <w:rPr>
          <w:rFonts w:ascii="Palatino Linotype" w:hAnsi="Palatino Linotype" w:cs="Arial"/>
          <w:b/>
          <w:sz w:val="24"/>
          <w:szCs w:val="24"/>
        </w:rPr>
        <w:t>4352</w:t>
      </w:r>
      <w:r w:rsidR="00625340" w:rsidRPr="002E02EC">
        <w:rPr>
          <w:rFonts w:ascii="Palatino Linotype" w:hAnsi="Palatino Linotype" w:cs="Arial"/>
          <w:b/>
          <w:sz w:val="24"/>
          <w:szCs w:val="24"/>
        </w:rPr>
        <w:t>/INFOEM/IP/RR/201</w:t>
      </w:r>
      <w:r w:rsidR="00283F2C">
        <w:rPr>
          <w:rFonts w:ascii="Palatino Linotype" w:hAnsi="Palatino Linotype" w:cs="Arial"/>
          <w:b/>
          <w:sz w:val="24"/>
          <w:szCs w:val="24"/>
        </w:rPr>
        <w:t>8</w:t>
      </w:r>
      <w:r w:rsidR="001F068A">
        <w:rPr>
          <w:rFonts w:ascii="Palatino Linotype" w:hAnsi="Palatino Linotype" w:cs="Arial"/>
          <w:b/>
          <w:sz w:val="24"/>
          <w:szCs w:val="24"/>
        </w:rPr>
        <w:t xml:space="preserve">. </w:t>
      </w:r>
    </w:p>
    <w:p w:rsidR="00625340" w:rsidRPr="006773C0" w:rsidRDefault="00625340" w:rsidP="00625340">
      <w:pPr>
        <w:spacing w:after="0" w:line="360" w:lineRule="auto"/>
        <w:jc w:val="both"/>
        <w:rPr>
          <w:rFonts w:ascii="Palatino Linotype" w:hAnsi="Palatino Linotype" w:cs="Arial"/>
          <w:b/>
          <w:sz w:val="24"/>
          <w:szCs w:val="24"/>
        </w:rPr>
      </w:pPr>
    </w:p>
    <w:p w:rsidR="006773C0" w:rsidRP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Líneas argumentativas:</w:t>
      </w:r>
    </w:p>
    <w:p w:rsidR="00BE26FB" w:rsidRDefault="00BE26FB" w:rsidP="006773C0">
      <w:pPr>
        <w:spacing w:after="0" w:line="276" w:lineRule="auto"/>
        <w:jc w:val="both"/>
        <w:rPr>
          <w:rFonts w:ascii="Palatino Linotype" w:hAnsi="Palatino Linotype" w:cs="Arial"/>
          <w:sz w:val="24"/>
          <w:szCs w:val="24"/>
        </w:rPr>
      </w:pPr>
    </w:p>
    <w:p w:rsidR="0056327C" w:rsidRDefault="0056327C" w:rsidP="009E6941">
      <w:pPr>
        <w:pStyle w:val="Prrafodelista"/>
        <w:numPr>
          <w:ilvl w:val="0"/>
          <w:numId w:val="11"/>
        </w:numPr>
        <w:spacing w:after="0" w:line="360" w:lineRule="auto"/>
        <w:ind w:left="0" w:hanging="284"/>
        <w:jc w:val="both"/>
        <w:rPr>
          <w:rFonts w:ascii="Palatino Linotype" w:hAnsi="Palatino Linotype" w:cs="Arial"/>
          <w:sz w:val="24"/>
          <w:szCs w:val="24"/>
        </w:rPr>
      </w:pPr>
      <w:r w:rsidRPr="0056327C">
        <w:rPr>
          <w:rFonts w:ascii="Palatino Linotype" w:hAnsi="Palatino Linotype" w:cs="Arial"/>
          <w:sz w:val="24"/>
          <w:szCs w:val="24"/>
        </w:rPr>
        <w:t>Con el objeto de que el procedimiento en materia de acceso a la información sea sustanciado de manera sen</w:t>
      </w:r>
      <w:r w:rsidR="003C7564">
        <w:rPr>
          <w:rFonts w:ascii="Palatino Linotype" w:hAnsi="Palatino Linotype" w:cs="Arial"/>
          <w:sz w:val="24"/>
          <w:szCs w:val="24"/>
        </w:rPr>
        <w:t>cilla y expedita propiciando la</w:t>
      </w:r>
      <w:r w:rsidRPr="0056327C">
        <w:rPr>
          <w:rFonts w:ascii="Palatino Linotype" w:hAnsi="Palatino Linotype" w:cs="Arial"/>
          <w:sz w:val="24"/>
          <w:szCs w:val="24"/>
        </w:rPr>
        <w:t>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w:t>
      </w:r>
      <w:r>
        <w:rPr>
          <w:rFonts w:ascii="Palatino Linotype" w:hAnsi="Palatino Linotype" w:cs="Arial"/>
          <w:sz w:val="24"/>
          <w:szCs w:val="24"/>
        </w:rPr>
        <w:t xml:space="preserve"> los Sujetos Obligados generan, administran o poseen. </w:t>
      </w:r>
    </w:p>
    <w:p w:rsidR="00DC35D1" w:rsidRDefault="00DC35D1" w:rsidP="00DC35D1">
      <w:pPr>
        <w:pStyle w:val="Prrafodelista"/>
        <w:spacing w:after="0" w:line="360" w:lineRule="auto"/>
        <w:ind w:left="0"/>
        <w:jc w:val="both"/>
        <w:rPr>
          <w:rFonts w:ascii="Palatino Linotype" w:hAnsi="Palatino Linotype" w:cs="Arial"/>
          <w:sz w:val="24"/>
          <w:szCs w:val="24"/>
        </w:rPr>
      </w:pPr>
    </w:p>
    <w:p w:rsidR="00B21506" w:rsidRPr="00762FA0" w:rsidRDefault="00B21506" w:rsidP="00B21506">
      <w:pPr>
        <w:pStyle w:val="Prrafodelista"/>
        <w:numPr>
          <w:ilvl w:val="0"/>
          <w:numId w:val="11"/>
        </w:numPr>
        <w:spacing w:after="0" w:line="360" w:lineRule="auto"/>
        <w:ind w:left="0" w:hanging="284"/>
        <w:jc w:val="both"/>
        <w:rPr>
          <w:rFonts w:ascii="Palatino Linotype" w:hAnsi="Palatino Linotype"/>
          <w:sz w:val="24"/>
          <w:szCs w:val="24"/>
        </w:rPr>
      </w:pPr>
      <w:r>
        <w:rPr>
          <w:rFonts w:ascii="Palatino Linotype" w:hAnsi="Palatino Linotype"/>
          <w:sz w:val="24"/>
          <w:szCs w:val="24"/>
        </w:rPr>
        <w:t xml:space="preserve">En los casos en existe fuente obligacional respecto de la información requerida, el Sujeto Obligado deberá declinar la incompetencia dentro de los 3 días hábiles posteriores a la presentación de la solicitud, mediante  el acuerdo de incompetencia que deberá emitir el  Comité de Transparencia </w:t>
      </w:r>
      <w:r w:rsidRPr="00762FA0">
        <w:rPr>
          <w:rFonts w:ascii="Palatino Linotype" w:hAnsi="Palatino Linotype"/>
          <w:sz w:val="24"/>
          <w:szCs w:val="24"/>
        </w:rPr>
        <w:t>el cual se establezcan los fundamentos y motivos por los que no se puede atender la solicitud</w:t>
      </w:r>
      <w:r>
        <w:rPr>
          <w:rFonts w:ascii="Palatino Linotype" w:hAnsi="Palatino Linotype"/>
          <w:sz w:val="24"/>
          <w:szCs w:val="24"/>
        </w:rPr>
        <w:t xml:space="preserve"> de información,</w:t>
      </w:r>
      <w:r w:rsidRPr="00762FA0">
        <w:rPr>
          <w:rFonts w:ascii="Palatino Linotype" w:hAnsi="Palatino Linotype"/>
          <w:sz w:val="24"/>
          <w:szCs w:val="24"/>
        </w:rPr>
        <w:t xml:space="preserve"> </w:t>
      </w:r>
      <w:r>
        <w:rPr>
          <w:rFonts w:ascii="Palatino Linotype" w:hAnsi="Palatino Linotype"/>
          <w:sz w:val="24"/>
          <w:szCs w:val="24"/>
        </w:rPr>
        <w:t>actuación que demostrará</w:t>
      </w:r>
      <w:r w:rsidRPr="00762FA0">
        <w:rPr>
          <w:rFonts w:ascii="Palatino Linotype" w:hAnsi="Palatino Linotype"/>
          <w:sz w:val="24"/>
          <w:szCs w:val="24"/>
        </w:rPr>
        <w:t xml:space="preserve"> el compromis</w:t>
      </w:r>
      <w:r>
        <w:rPr>
          <w:rFonts w:ascii="Palatino Linotype" w:hAnsi="Palatino Linotype"/>
          <w:sz w:val="24"/>
          <w:szCs w:val="24"/>
        </w:rPr>
        <w:t xml:space="preserve">o con el mandato constitucional al </w:t>
      </w:r>
      <w:r w:rsidRPr="00762FA0">
        <w:rPr>
          <w:rFonts w:ascii="Palatino Linotype" w:hAnsi="Palatino Linotype"/>
          <w:sz w:val="24"/>
          <w:szCs w:val="24"/>
        </w:rPr>
        <w:t xml:space="preserve"> canalizar la solicitud al Sujeto Obligado correspondiente.</w:t>
      </w:r>
    </w:p>
    <w:p w:rsidR="009064F8" w:rsidRPr="009064F8" w:rsidRDefault="009064F8" w:rsidP="009064F8">
      <w:pPr>
        <w:pStyle w:val="Prrafodelista"/>
        <w:rPr>
          <w:rFonts w:ascii="Palatino Linotype" w:hAnsi="Palatino Linotype" w:cs="Arial"/>
          <w:sz w:val="24"/>
          <w:szCs w:val="24"/>
        </w:rPr>
      </w:pPr>
    </w:p>
    <w:p w:rsidR="009064F8" w:rsidRPr="00DC35D1" w:rsidRDefault="009064F8" w:rsidP="009064F8">
      <w:pPr>
        <w:pStyle w:val="Prrafodelista"/>
        <w:spacing w:after="0" w:line="360" w:lineRule="auto"/>
        <w:ind w:left="0"/>
        <w:jc w:val="both"/>
        <w:rPr>
          <w:rFonts w:ascii="Palatino Linotype" w:hAnsi="Palatino Linotype" w:cs="Arial"/>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625340" w:rsidRPr="00F15522" w:rsidRDefault="00625340">
          <w:pPr>
            <w:pStyle w:val="TtulodeTDC"/>
            <w:rPr>
              <w:szCs w:val="24"/>
            </w:rPr>
          </w:pPr>
          <w:r w:rsidRPr="00F15522">
            <w:rPr>
              <w:szCs w:val="24"/>
              <w:lang w:val="es-ES"/>
            </w:rPr>
            <w:t>Índice</w:t>
          </w:r>
        </w:p>
        <w:p w:rsidR="006A4042" w:rsidRPr="006A4042" w:rsidRDefault="00625340">
          <w:pPr>
            <w:pStyle w:val="TDC1"/>
            <w:tabs>
              <w:tab w:val="left" w:pos="440"/>
              <w:tab w:val="right" w:leader="dot" w:pos="8828"/>
            </w:tabs>
            <w:rPr>
              <w:rFonts w:ascii="Palatino Linotype" w:eastAsiaTheme="minorEastAsia" w:hAnsi="Palatino Linotype"/>
              <w:noProof/>
              <w:sz w:val="24"/>
              <w:szCs w:val="24"/>
              <w:lang w:eastAsia="es-MX"/>
            </w:rPr>
          </w:pPr>
          <w:r w:rsidRPr="006A4042">
            <w:rPr>
              <w:rFonts w:ascii="Palatino Linotype" w:hAnsi="Palatino Linotype"/>
              <w:sz w:val="24"/>
              <w:szCs w:val="24"/>
            </w:rPr>
            <w:fldChar w:fldCharType="begin"/>
          </w:r>
          <w:r w:rsidRPr="006A4042">
            <w:rPr>
              <w:rFonts w:ascii="Palatino Linotype" w:hAnsi="Palatino Linotype"/>
              <w:sz w:val="24"/>
              <w:szCs w:val="24"/>
            </w:rPr>
            <w:instrText xml:space="preserve"> TOC \o "1-3" \h \z \u </w:instrText>
          </w:r>
          <w:r w:rsidRPr="006A4042">
            <w:rPr>
              <w:rFonts w:ascii="Palatino Linotype" w:hAnsi="Palatino Linotype"/>
              <w:sz w:val="24"/>
              <w:szCs w:val="24"/>
            </w:rPr>
            <w:fldChar w:fldCharType="separate"/>
          </w:r>
          <w:hyperlink w:anchor="_Toc536470237" w:history="1">
            <w:r w:rsidR="006A4042" w:rsidRPr="006A4042">
              <w:rPr>
                <w:rStyle w:val="Hipervnculo"/>
                <w:rFonts w:ascii="Palatino Linotype" w:hAnsi="Palatino Linotype"/>
                <w:noProof/>
                <w:sz w:val="24"/>
                <w:szCs w:val="24"/>
              </w:rPr>
              <w:t>I.</w:t>
            </w:r>
            <w:r w:rsidR="006A4042" w:rsidRPr="006A4042">
              <w:rPr>
                <w:rFonts w:ascii="Palatino Linotype" w:eastAsiaTheme="minorEastAsia" w:hAnsi="Palatino Linotype"/>
                <w:noProof/>
                <w:sz w:val="24"/>
                <w:szCs w:val="24"/>
                <w:lang w:eastAsia="es-MX"/>
              </w:rPr>
              <w:tab/>
            </w:r>
            <w:r w:rsidR="006A4042" w:rsidRPr="006A4042">
              <w:rPr>
                <w:rStyle w:val="Hipervnculo"/>
                <w:rFonts w:ascii="Palatino Linotype" w:hAnsi="Palatino Linotype"/>
                <w:noProof/>
                <w:sz w:val="24"/>
                <w:szCs w:val="24"/>
              </w:rPr>
              <w:t>Consideraciones Generales</w:t>
            </w:r>
            <w:r w:rsidR="006A4042" w:rsidRPr="006A4042">
              <w:rPr>
                <w:rFonts w:ascii="Palatino Linotype" w:hAnsi="Palatino Linotype"/>
                <w:noProof/>
                <w:webHidden/>
                <w:sz w:val="24"/>
                <w:szCs w:val="24"/>
              </w:rPr>
              <w:tab/>
            </w:r>
            <w:r w:rsidR="006A4042" w:rsidRPr="006A4042">
              <w:rPr>
                <w:rFonts w:ascii="Palatino Linotype" w:hAnsi="Palatino Linotype"/>
                <w:noProof/>
                <w:webHidden/>
                <w:sz w:val="24"/>
                <w:szCs w:val="24"/>
              </w:rPr>
              <w:fldChar w:fldCharType="begin"/>
            </w:r>
            <w:r w:rsidR="006A4042" w:rsidRPr="006A4042">
              <w:rPr>
                <w:rFonts w:ascii="Palatino Linotype" w:hAnsi="Palatino Linotype"/>
                <w:noProof/>
                <w:webHidden/>
                <w:sz w:val="24"/>
                <w:szCs w:val="24"/>
              </w:rPr>
              <w:instrText xml:space="preserve"> PAGEREF _Toc536470237 \h </w:instrText>
            </w:r>
            <w:r w:rsidR="006A4042" w:rsidRPr="006A4042">
              <w:rPr>
                <w:rFonts w:ascii="Palatino Linotype" w:hAnsi="Palatino Linotype"/>
                <w:noProof/>
                <w:webHidden/>
                <w:sz w:val="24"/>
                <w:szCs w:val="24"/>
              </w:rPr>
            </w:r>
            <w:r w:rsidR="006A4042" w:rsidRPr="006A4042">
              <w:rPr>
                <w:rFonts w:ascii="Palatino Linotype" w:hAnsi="Palatino Linotype"/>
                <w:noProof/>
                <w:webHidden/>
                <w:sz w:val="24"/>
                <w:szCs w:val="24"/>
              </w:rPr>
              <w:fldChar w:fldCharType="separate"/>
            </w:r>
            <w:r w:rsidR="006A4042" w:rsidRPr="006A4042">
              <w:rPr>
                <w:rFonts w:ascii="Palatino Linotype" w:hAnsi="Palatino Linotype"/>
                <w:noProof/>
                <w:webHidden/>
                <w:sz w:val="24"/>
                <w:szCs w:val="24"/>
              </w:rPr>
              <w:t>2</w:t>
            </w:r>
            <w:r w:rsidR="006A4042" w:rsidRPr="006A4042">
              <w:rPr>
                <w:rFonts w:ascii="Palatino Linotype" w:hAnsi="Palatino Linotype"/>
                <w:noProof/>
                <w:webHidden/>
                <w:sz w:val="24"/>
                <w:szCs w:val="24"/>
              </w:rPr>
              <w:fldChar w:fldCharType="end"/>
            </w:r>
          </w:hyperlink>
        </w:p>
        <w:p w:rsidR="006A4042" w:rsidRPr="006A4042" w:rsidRDefault="006A4042" w:rsidP="006A4042">
          <w:pPr>
            <w:pStyle w:val="TDC1"/>
            <w:tabs>
              <w:tab w:val="left" w:pos="440"/>
              <w:tab w:val="right" w:leader="dot" w:pos="8828"/>
            </w:tabs>
            <w:rPr>
              <w:rFonts w:ascii="Palatino Linotype" w:eastAsiaTheme="minorEastAsia" w:hAnsi="Palatino Linotype"/>
              <w:noProof/>
              <w:sz w:val="24"/>
              <w:szCs w:val="24"/>
              <w:lang w:eastAsia="es-MX"/>
            </w:rPr>
          </w:pPr>
          <w:hyperlink w:anchor="_Toc536470238" w:history="1">
            <w:r w:rsidRPr="006A4042">
              <w:rPr>
                <w:rStyle w:val="Hipervnculo"/>
                <w:rFonts w:ascii="Palatino Linotype" w:hAnsi="Palatino Linotype"/>
                <w:noProof/>
                <w:sz w:val="24"/>
                <w:szCs w:val="24"/>
              </w:rPr>
              <w:t xml:space="preserve">II.  </w:t>
            </w:r>
            <w:r>
              <w:rPr>
                <w:rStyle w:val="Hipervnculo"/>
                <w:rFonts w:ascii="Palatino Linotype" w:hAnsi="Palatino Linotype"/>
                <w:noProof/>
                <w:sz w:val="24"/>
                <w:szCs w:val="24"/>
              </w:rPr>
              <w:t xml:space="preserve">  </w:t>
            </w:r>
            <w:r w:rsidRPr="006A4042">
              <w:rPr>
                <w:rStyle w:val="Hipervnculo"/>
                <w:rFonts w:ascii="Palatino Linotype" w:hAnsi="Palatino Linotype"/>
                <w:noProof/>
                <w:sz w:val="24"/>
                <w:szCs w:val="24"/>
              </w:rPr>
              <w:t>Del Procedimiento de Acceso a la Información Pública.</w:t>
            </w:r>
            <w:r w:rsidRPr="006A4042">
              <w:rPr>
                <w:rFonts w:ascii="Palatino Linotype" w:hAnsi="Palatino Linotype"/>
                <w:noProof/>
                <w:webHidden/>
                <w:sz w:val="24"/>
                <w:szCs w:val="24"/>
              </w:rPr>
              <w:tab/>
            </w:r>
            <w:r w:rsidRPr="006A4042">
              <w:rPr>
                <w:rFonts w:ascii="Palatino Linotype" w:hAnsi="Palatino Linotype"/>
                <w:noProof/>
                <w:webHidden/>
                <w:sz w:val="24"/>
                <w:szCs w:val="24"/>
              </w:rPr>
              <w:fldChar w:fldCharType="begin"/>
            </w:r>
            <w:r w:rsidRPr="006A4042">
              <w:rPr>
                <w:rFonts w:ascii="Palatino Linotype" w:hAnsi="Palatino Linotype"/>
                <w:noProof/>
                <w:webHidden/>
                <w:sz w:val="24"/>
                <w:szCs w:val="24"/>
              </w:rPr>
              <w:instrText xml:space="preserve"> PAGEREF _Toc536470238 \h </w:instrText>
            </w:r>
            <w:r w:rsidRPr="006A4042">
              <w:rPr>
                <w:rFonts w:ascii="Palatino Linotype" w:hAnsi="Palatino Linotype"/>
                <w:noProof/>
                <w:webHidden/>
                <w:sz w:val="24"/>
                <w:szCs w:val="24"/>
              </w:rPr>
            </w:r>
            <w:r w:rsidRPr="006A4042">
              <w:rPr>
                <w:rFonts w:ascii="Palatino Linotype" w:hAnsi="Palatino Linotype"/>
                <w:noProof/>
                <w:webHidden/>
                <w:sz w:val="24"/>
                <w:szCs w:val="24"/>
              </w:rPr>
              <w:fldChar w:fldCharType="separate"/>
            </w:r>
            <w:r w:rsidRPr="006A4042">
              <w:rPr>
                <w:rFonts w:ascii="Palatino Linotype" w:hAnsi="Palatino Linotype"/>
                <w:noProof/>
                <w:webHidden/>
                <w:sz w:val="24"/>
                <w:szCs w:val="24"/>
              </w:rPr>
              <w:t>3</w:t>
            </w:r>
            <w:r w:rsidRPr="006A4042">
              <w:rPr>
                <w:rFonts w:ascii="Palatino Linotype" w:hAnsi="Palatino Linotype"/>
                <w:noProof/>
                <w:webHidden/>
                <w:sz w:val="24"/>
                <w:szCs w:val="24"/>
              </w:rPr>
              <w:fldChar w:fldCharType="end"/>
            </w:r>
          </w:hyperlink>
        </w:p>
        <w:p w:rsidR="006A4042" w:rsidRPr="006A4042" w:rsidRDefault="006A4042">
          <w:pPr>
            <w:pStyle w:val="TDC1"/>
            <w:tabs>
              <w:tab w:val="left" w:pos="440"/>
              <w:tab w:val="right" w:leader="dot" w:pos="8828"/>
            </w:tabs>
            <w:rPr>
              <w:rFonts w:ascii="Palatino Linotype" w:eastAsiaTheme="minorEastAsia" w:hAnsi="Palatino Linotype"/>
              <w:noProof/>
              <w:sz w:val="24"/>
              <w:szCs w:val="24"/>
              <w:lang w:eastAsia="es-MX"/>
            </w:rPr>
          </w:pPr>
          <w:hyperlink w:anchor="_Toc536470239" w:history="1">
            <w:r w:rsidRPr="006A4042">
              <w:rPr>
                <w:rStyle w:val="Hipervnculo"/>
                <w:rFonts w:ascii="Palatino Linotype" w:hAnsi="Palatino Linotype"/>
                <w:noProof/>
                <w:sz w:val="24"/>
                <w:szCs w:val="24"/>
              </w:rPr>
              <w:t>II.</w:t>
            </w:r>
            <w:r w:rsidRPr="006A4042">
              <w:rPr>
                <w:rFonts w:ascii="Palatino Linotype" w:eastAsiaTheme="minorEastAsia" w:hAnsi="Palatino Linotype"/>
                <w:noProof/>
                <w:sz w:val="24"/>
                <w:szCs w:val="24"/>
                <w:lang w:eastAsia="es-MX"/>
              </w:rPr>
              <w:tab/>
            </w:r>
            <w:r w:rsidRPr="006A4042">
              <w:rPr>
                <w:rStyle w:val="Hipervnculo"/>
                <w:rFonts w:ascii="Palatino Linotype" w:hAnsi="Palatino Linotype"/>
                <w:noProof/>
                <w:sz w:val="24"/>
                <w:szCs w:val="24"/>
              </w:rPr>
              <w:t>De la fuente obligacional del Sujeto Obligado</w:t>
            </w:r>
            <w:r w:rsidRPr="006A4042">
              <w:rPr>
                <w:rFonts w:ascii="Palatino Linotype" w:hAnsi="Palatino Linotype"/>
                <w:noProof/>
                <w:webHidden/>
                <w:sz w:val="24"/>
                <w:szCs w:val="24"/>
              </w:rPr>
              <w:tab/>
            </w:r>
            <w:r w:rsidRPr="006A4042">
              <w:rPr>
                <w:rFonts w:ascii="Palatino Linotype" w:hAnsi="Palatino Linotype"/>
                <w:noProof/>
                <w:webHidden/>
                <w:sz w:val="24"/>
                <w:szCs w:val="24"/>
              </w:rPr>
              <w:fldChar w:fldCharType="begin"/>
            </w:r>
            <w:r w:rsidRPr="006A4042">
              <w:rPr>
                <w:rFonts w:ascii="Palatino Linotype" w:hAnsi="Palatino Linotype"/>
                <w:noProof/>
                <w:webHidden/>
                <w:sz w:val="24"/>
                <w:szCs w:val="24"/>
              </w:rPr>
              <w:instrText xml:space="preserve"> PAGEREF _Toc536470239 \h </w:instrText>
            </w:r>
            <w:r w:rsidRPr="006A4042">
              <w:rPr>
                <w:rFonts w:ascii="Palatino Linotype" w:hAnsi="Palatino Linotype"/>
                <w:noProof/>
                <w:webHidden/>
                <w:sz w:val="24"/>
                <w:szCs w:val="24"/>
              </w:rPr>
            </w:r>
            <w:r w:rsidRPr="006A4042">
              <w:rPr>
                <w:rFonts w:ascii="Palatino Linotype" w:hAnsi="Palatino Linotype"/>
                <w:noProof/>
                <w:webHidden/>
                <w:sz w:val="24"/>
                <w:szCs w:val="24"/>
              </w:rPr>
              <w:fldChar w:fldCharType="separate"/>
            </w:r>
            <w:r w:rsidRPr="006A4042">
              <w:rPr>
                <w:rFonts w:ascii="Palatino Linotype" w:hAnsi="Palatino Linotype"/>
                <w:noProof/>
                <w:webHidden/>
                <w:sz w:val="24"/>
                <w:szCs w:val="24"/>
              </w:rPr>
              <w:t>4</w:t>
            </w:r>
            <w:r w:rsidRPr="006A4042">
              <w:rPr>
                <w:rFonts w:ascii="Palatino Linotype" w:hAnsi="Palatino Linotype"/>
                <w:noProof/>
                <w:webHidden/>
                <w:sz w:val="24"/>
                <w:szCs w:val="24"/>
              </w:rPr>
              <w:fldChar w:fldCharType="end"/>
            </w:r>
          </w:hyperlink>
        </w:p>
        <w:p w:rsidR="006A4042" w:rsidRPr="006A4042" w:rsidRDefault="006A4042">
          <w:pPr>
            <w:pStyle w:val="TDC1"/>
            <w:tabs>
              <w:tab w:val="left" w:pos="660"/>
              <w:tab w:val="right" w:leader="dot" w:pos="8828"/>
            </w:tabs>
            <w:rPr>
              <w:rFonts w:ascii="Palatino Linotype" w:eastAsiaTheme="minorEastAsia" w:hAnsi="Palatino Linotype"/>
              <w:noProof/>
              <w:sz w:val="24"/>
              <w:szCs w:val="24"/>
              <w:lang w:eastAsia="es-MX"/>
            </w:rPr>
          </w:pPr>
          <w:hyperlink w:anchor="_Toc536470240" w:history="1">
            <w:r w:rsidRPr="006A4042">
              <w:rPr>
                <w:rStyle w:val="Hipervnculo"/>
                <w:rFonts w:ascii="Palatino Linotype" w:hAnsi="Palatino Linotype"/>
                <w:noProof/>
                <w:sz w:val="24"/>
                <w:szCs w:val="24"/>
              </w:rPr>
              <w:t>III.</w:t>
            </w:r>
            <w:r>
              <w:rPr>
                <w:rFonts w:ascii="Palatino Linotype" w:eastAsiaTheme="minorEastAsia" w:hAnsi="Palatino Linotype"/>
                <w:noProof/>
                <w:sz w:val="24"/>
                <w:szCs w:val="24"/>
                <w:lang w:eastAsia="es-MX"/>
              </w:rPr>
              <w:t xml:space="preserve">   </w:t>
            </w:r>
            <w:r w:rsidRPr="006A4042">
              <w:rPr>
                <w:rStyle w:val="Hipervnculo"/>
                <w:rFonts w:ascii="Palatino Linotype" w:hAnsi="Palatino Linotype"/>
                <w:noProof/>
                <w:sz w:val="24"/>
                <w:szCs w:val="24"/>
              </w:rPr>
              <w:t>De acuerdo de incompetencia.</w:t>
            </w:r>
            <w:r w:rsidRPr="006A4042">
              <w:rPr>
                <w:rFonts w:ascii="Palatino Linotype" w:hAnsi="Palatino Linotype"/>
                <w:noProof/>
                <w:webHidden/>
                <w:sz w:val="24"/>
                <w:szCs w:val="24"/>
              </w:rPr>
              <w:tab/>
            </w:r>
            <w:r w:rsidRPr="006A4042">
              <w:rPr>
                <w:rFonts w:ascii="Palatino Linotype" w:hAnsi="Palatino Linotype"/>
                <w:noProof/>
                <w:webHidden/>
                <w:sz w:val="24"/>
                <w:szCs w:val="24"/>
              </w:rPr>
              <w:fldChar w:fldCharType="begin"/>
            </w:r>
            <w:r w:rsidRPr="006A4042">
              <w:rPr>
                <w:rFonts w:ascii="Palatino Linotype" w:hAnsi="Palatino Linotype"/>
                <w:noProof/>
                <w:webHidden/>
                <w:sz w:val="24"/>
                <w:szCs w:val="24"/>
              </w:rPr>
              <w:instrText xml:space="preserve"> PAGEREF _Toc536470240 \h </w:instrText>
            </w:r>
            <w:r w:rsidRPr="006A4042">
              <w:rPr>
                <w:rFonts w:ascii="Palatino Linotype" w:hAnsi="Palatino Linotype"/>
                <w:noProof/>
                <w:webHidden/>
                <w:sz w:val="24"/>
                <w:szCs w:val="24"/>
              </w:rPr>
            </w:r>
            <w:r w:rsidRPr="006A4042">
              <w:rPr>
                <w:rFonts w:ascii="Palatino Linotype" w:hAnsi="Palatino Linotype"/>
                <w:noProof/>
                <w:webHidden/>
                <w:sz w:val="24"/>
                <w:szCs w:val="24"/>
              </w:rPr>
              <w:fldChar w:fldCharType="separate"/>
            </w:r>
            <w:r w:rsidRPr="006A4042">
              <w:rPr>
                <w:rFonts w:ascii="Palatino Linotype" w:hAnsi="Palatino Linotype"/>
                <w:noProof/>
                <w:webHidden/>
                <w:sz w:val="24"/>
                <w:szCs w:val="24"/>
              </w:rPr>
              <w:t>5</w:t>
            </w:r>
            <w:r w:rsidRPr="006A4042">
              <w:rPr>
                <w:rFonts w:ascii="Palatino Linotype" w:hAnsi="Palatino Linotype"/>
                <w:noProof/>
                <w:webHidden/>
                <w:sz w:val="24"/>
                <w:szCs w:val="24"/>
              </w:rPr>
              <w:fldChar w:fldCharType="end"/>
            </w:r>
          </w:hyperlink>
        </w:p>
        <w:p w:rsidR="00625340" w:rsidRPr="006A4042" w:rsidRDefault="00625340">
          <w:pPr>
            <w:rPr>
              <w:rFonts w:ascii="Palatino Linotype" w:hAnsi="Palatino Linotype"/>
              <w:sz w:val="24"/>
              <w:szCs w:val="24"/>
            </w:rPr>
          </w:pPr>
          <w:r w:rsidRPr="006A4042">
            <w:rPr>
              <w:rFonts w:ascii="Palatino Linotype" w:hAnsi="Palatino Linotype"/>
              <w:b/>
              <w:bCs/>
              <w:sz w:val="24"/>
              <w:szCs w:val="24"/>
              <w:lang w:val="es-ES"/>
            </w:rPr>
            <w:fldChar w:fldCharType="end"/>
          </w:r>
        </w:p>
      </w:sdtContent>
    </w:sdt>
    <w:p w:rsidR="00625340" w:rsidRDefault="00625340" w:rsidP="003431E5">
      <w:pPr>
        <w:pStyle w:val="Ttulo1"/>
        <w:numPr>
          <w:ilvl w:val="0"/>
          <w:numId w:val="15"/>
        </w:numPr>
      </w:pPr>
      <w:bookmarkStart w:id="0" w:name="_Toc536470237"/>
      <w:r w:rsidRPr="00796B57">
        <w:t xml:space="preserve">Consideraciones </w:t>
      </w:r>
      <w:r w:rsidRPr="00625340">
        <w:t>Generale</w:t>
      </w:r>
      <w:bookmarkStart w:id="1" w:name="_GoBack"/>
      <w:bookmarkEnd w:id="1"/>
      <w:r w:rsidRPr="00625340">
        <w:t>s</w:t>
      </w:r>
      <w:bookmarkEnd w:id="0"/>
    </w:p>
    <w:p w:rsidR="003431E5" w:rsidRPr="003431E5" w:rsidRDefault="003431E5" w:rsidP="003431E5"/>
    <w:p w:rsidR="00625340" w:rsidRPr="00650D44"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por el Pleno del Instituto de Transparencia, Acceso a la Información Pública y Protección de Datos Personales del Esta</w:t>
      </w:r>
      <w:r w:rsidR="00B21506">
        <w:rPr>
          <w:rFonts w:ascii="Palatino Linotype" w:hAnsi="Palatino Linotype" w:cs="Arial"/>
          <w:sz w:val="24"/>
          <w:szCs w:val="24"/>
        </w:rPr>
        <w:t>do de México y Municipios, en su</w:t>
      </w:r>
      <w:r w:rsidR="00625340" w:rsidRPr="001C3008">
        <w:rPr>
          <w:rFonts w:ascii="Palatino Linotype" w:hAnsi="Palatino Linotype" w:cs="Arial"/>
          <w:sz w:val="24"/>
          <w:szCs w:val="24"/>
        </w:rPr>
        <w:t xml:space="preserve"> </w:t>
      </w:r>
      <w:r w:rsidR="00B21506">
        <w:rPr>
          <w:rFonts w:ascii="Palatino Linotype" w:hAnsi="Palatino Linotype" w:cs="Arial"/>
          <w:sz w:val="24"/>
          <w:szCs w:val="24"/>
        </w:rPr>
        <w:t>tercera</w:t>
      </w:r>
      <w:r w:rsidR="00541FA8">
        <w:rPr>
          <w:rFonts w:ascii="Palatino Linotype" w:hAnsi="Palatino Linotype" w:cs="Arial"/>
          <w:sz w:val="24"/>
          <w:szCs w:val="24"/>
        </w:rPr>
        <w:t xml:space="preserve"> sesi</w:t>
      </w:r>
      <w:r w:rsidR="009064F8">
        <w:rPr>
          <w:rFonts w:ascii="Palatino Linotype" w:hAnsi="Palatino Linotype" w:cs="Arial"/>
          <w:sz w:val="24"/>
          <w:szCs w:val="24"/>
        </w:rPr>
        <w:t xml:space="preserve">ón ordinaria del día </w:t>
      </w:r>
      <w:r w:rsidR="00B21506">
        <w:rPr>
          <w:rFonts w:ascii="Palatino Linotype" w:hAnsi="Palatino Linotype" w:cs="Arial"/>
          <w:sz w:val="24"/>
          <w:szCs w:val="24"/>
        </w:rPr>
        <w:t>veintitrés</w:t>
      </w:r>
      <w:r w:rsidR="009064F8">
        <w:rPr>
          <w:rFonts w:ascii="Palatino Linotype" w:hAnsi="Palatino Linotype" w:cs="Arial"/>
          <w:sz w:val="24"/>
          <w:szCs w:val="24"/>
        </w:rPr>
        <w:t xml:space="preserve"> (</w:t>
      </w:r>
      <w:r w:rsidR="00B21506">
        <w:rPr>
          <w:rFonts w:ascii="Palatino Linotype" w:hAnsi="Palatino Linotype" w:cs="Arial"/>
          <w:sz w:val="24"/>
          <w:szCs w:val="24"/>
        </w:rPr>
        <w:t>23</w:t>
      </w:r>
      <w:r w:rsidR="009064F8">
        <w:rPr>
          <w:rFonts w:ascii="Palatino Linotype" w:hAnsi="Palatino Linotype" w:cs="Arial"/>
          <w:sz w:val="24"/>
          <w:szCs w:val="24"/>
        </w:rPr>
        <w:t>)</w:t>
      </w:r>
      <w:r w:rsidR="00175E9F">
        <w:rPr>
          <w:rFonts w:ascii="Palatino Linotype" w:hAnsi="Palatino Linotype" w:cs="Arial"/>
          <w:sz w:val="24"/>
          <w:szCs w:val="24"/>
        </w:rPr>
        <w:t xml:space="preserve"> de </w:t>
      </w:r>
      <w:r w:rsidR="00B21506">
        <w:rPr>
          <w:rFonts w:ascii="Palatino Linotype" w:hAnsi="Palatino Linotype" w:cs="Arial"/>
          <w:sz w:val="24"/>
          <w:szCs w:val="24"/>
        </w:rPr>
        <w:t>enero</w:t>
      </w:r>
      <w:r w:rsidR="00541FA8">
        <w:rPr>
          <w:rFonts w:ascii="Palatino Linotype" w:hAnsi="Palatino Linotype" w:cs="Arial"/>
          <w:sz w:val="24"/>
          <w:szCs w:val="24"/>
        </w:rPr>
        <w:t xml:space="preserve"> de dos mil dieci</w:t>
      </w:r>
      <w:r w:rsidR="00B21506">
        <w:rPr>
          <w:rFonts w:ascii="Palatino Linotype" w:hAnsi="Palatino Linotype" w:cs="Arial"/>
          <w:sz w:val="24"/>
          <w:szCs w:val="24"/>
        </w:rPr>
        <w:t>nueve</w:t>
      </w:r>
      <w:r w:rsidR="00625340" w:rsidRPr="001C3008">
        <w:rPr>
          <w:rFonts w:ascii="Palatino Linotype" w:hAnsi="Palatino Linotype" w:cs="Arial"/>
          <w:sz w:val="24"/>
          <w:szCs w:val="24"/>
        </w:rPr>
        <w:t xml:space="preserve">, en </w:t>
      </w:r>
      <w:r w:rsidR="009064F8">
        <w:rPr>
          <w:rFonts w:ascii="Palatino Linotype" w:hAnsi="Palatino Linotype" w:cs="Arial"/>
          <w:sz w:val="24"/>
          <w:szCs w:val="24"/>
        </w:rPr>
        <w:t>el</w:t>
      </w:r>
      <w:r w:rsidR="00625340">
        <w:rPr>
          <w:rFonts w:ascii="Palatino Linotype" w:hAnsi="Palatino Linotype" w:cs="Arial"/>
          <w:sz w:val="24"/>
          <w:szCs w:val="24"/>
        </w:rPr>
        <w:t xml:space="preserve"> recurso de revisión promovido</w:t>
      </w:r>
      <w:r w:rsidR="00625340" w:rsidRPr="001C3008">
        <w:rPr>
          <w:rFonts w:ascii="Palatino Linotype" w:hAnsi="Palatino Linotype" w:cs="Arial"/>
          <w:sz w:val="24"/>
          <w:szCs w:val="24"/>
        </w:rPr>
        <w:t xml:space="preserve"> </w:t>
      </w:r>
      <w:r w:rsidR="00625340">
        <w:rPr>
          <w:rFonts w:ascii="Palatino Linotype" w:hAnsi="Palatino Linotype" w:cs="Arial"/>
          <w:sz w:val="24"/>
          <w:szCs w:val="24"/>
        </w:rPr>
        <w:t>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B21506">
        <w:rPr>
          <w:rFonts w:ascii="Palatino Linotype" w:hAnsi="Palatino Linotype" w:cs="Arial"/>
          <w:sz w:val="24"/>
          <w:szCs w:val="24"/>
        </w:rPr>
        <w:t xml:space="preserve"> </w:t>
      </w:r>
      <w:r w:rsidR="00541FA8">
        <w:rPr>
          <w:rFonts w:ascii="Palatino Linotype" w:hAnsi="Palatino Linotype" w:cs="Arial"/>
          <w:sz w:val="24"/>
          <w:szCs w:val="24"/>
        </w:rPr>
        <w:t>l</w:t>
      </w:r>
      <w:r w:rsidR="00B21506">
        <w:rPr>
          <w:rFonts w:ascii="Palatino Linotype" w:hAnsi="Palatino Linotype" w:cs="Arial"/>
          <w:sz w:val="24"/>
          <w:szCs w:val="24"/>
        </w:rPr>
        <w:t>a</w:t>
      </w:r>
      <w:r w:rsidR="00B02F56">
        <w:rPr>
          <w:rFonts w:ascii="Palatino Linotype" w:hAnsi="Palatino Linotype" w:cs="Arial"/>
          <w:sz w:val="24"/>
          <w:szCs w:val="24"/>
        </w:rPr>
        <w:t xml:space="preserve"> </w:t>
      </w:r>
      <w:proofErr w:type="spellStart"/>
      <w:r w:rsidR="00B21506">
        <w:rPr>
          <w:rFonts w:ascii="Palatino Linotype" w:hAnsi="Palatino Linotype" w:cs="Arial"/>
          <w:b/>
        </w:rPr>
        <w:t>Procuarduría</w:t>
      </w:r>
      <w:proofErr w:type="spellEnd"/>
      <w:r w:rsidR="00B21506">
        <w:rPr>
          <w:rFonts w:ascii="Palatino Linotype" w:hAnsi="Palatino Linotype" w:cs="Arial"/>
          <w:b/>
        </w:rPr>
        <w:t xml:space="preserve"> de Protección al Ambiente del Estado de México</w:t>
      </w:r>
      <w:r w:rsidR="00625340" w:rsidRPr="001C3008">
        <w:rPr>
          <w:rFonts w:ascii="Palatino Linotype" w:hAnsi="Palatino Linotype" w:cs="Arial"/>
          <w:sz w:val="24"/>
          <w:szCs w:val="24"/>
        </w:rPr>
        <w:t>, proce</w:t>
      </w:r>
      <w:r w:rsidR="00625340">
        <w:rPr>
          <w:rFonts w:ascii="Palatino Linotype" w:hAnsi="Palatino Linotype" w:cs="Arial"/>
          <w:sz w:val="24"/>
          <w:szCs w:val="24"/>
        </w:rPr>
        <w:t>dimiento al</w:t>
      </w:r>
      <w:r w:rsidR="009064F8">
        <w:rPr>
          <w:rFonts w:ascii="Palatino Linotype" w:hAnsi="Palatino Linotype" w:cs="Arial"/>
          <w:sz w:val="24"/>
          <w:szCs w:val="24"/>
        </w:rPr>
        <w:t xml:space="preserve"> que se</w:t>
      </w:r>
      <w:r w:rsidR="00625340">
        <w:rPr>
          <w:rFonts w:ascii="Palatino Linotype" w:hAnsi="Palatino Linotype" w:cs="Arial"/>
          <w:sz w:val="24"/>
          <w:szCs w:val="24"/>
        </w:rPr>
        <w:t xml:space="preserve"> asignó el número de expediente </w:t>
      </w:r>
      <w:r w:rsidR="00625340" w:rsidRPr="00650D44">
        <w:rPr>
          <w:rFonts w:ascii="Palatino Linotype" w:hAnsi="Palatino Linotype" w:cs="Arial"/>
          <w:b/>
          <w:bCs/>
          <w:sz w:val="24"/>
          <w:szCs w:val="24"/>
        </w:rPr>
        <w:t>0</w:t>
      </w:r>
      <w:r w:rsidR="00A15C52">
        <w:rPr>
          <w:rFonts w:ascii="Palatino Linotype" w:hAnsi="Palatino Linotype" w:cs="Arial"/>
          <w:b/>
          <w:bCs/>
          <w:sz w:val="24"/>
          <w:szCs w:val="24"/>
        </w:rPr>
        <w:t>4352</w:t>
      </w:r>
      <w:r w:rsidR="00625340" w:rsidRPr="00650D44">
        <w:rPr>
          <w:rFonts w:ascii="Palatino Linotype" w:hAnsi="Palatino Linotype" w:cs="Arial"/>
          <w:b/>
          <w:bCs/>
          <w:sz w:val="24"/>
          <w:szCs w:val="24"/>
        </w:rPr>
        <w:t>/INFOEM/IP/RR/201</w:t>
      </w:r>
      <w:r w:rsidR="00A74748" w:rsidRPr="00650D44">
        <w:rPr>
          <w:rFonts w:ascii="Palatino Linotype" w:hAnsi="Palatino Linotype" w:cs="Arial"/>
          <w:b/>
          <w:bCs/>
          <w:sz w:val="24"/>
          <w:szCs w:val="24"/>
        </w:rPr>
        <w:t>8</w:t>
      </w:r>
      <w:r w:rsidR="00650D44" w:rsidRPr="00650D44">
        <w:rPr>
          <w:rFonts w:ascii="Palatino Linotype" w:hAnsi="Palatino Linotype" w:cs="Arial"/>
          <w:b/>
          <w:bCs/>
          <w:sz w:val="24"/>
          <w:szCs w:val="24"/>
        </w:rPr>
        <w:t xml:space="preserve">. </w:t>
      </w:r>
    </w:p>
    <w:p w:rsidR="00625340" w:rsidRPr="00650D44" w:rsidRDefault="00625340" w:rsidP="00625340">
      <w:pPr>
        <w:pStyle w:val="Prrafodelista"/>
        <w:spacing w:after="0" w:line="360" w:lineRule="auto"/>
        <w:ind w:left="0"/>
        <w:jc w:val="both"/>
        <w:rPr>
          <w:rFonts w:ascii="Palatino Linotype" w:hAnsi="Palatino Linotype" w:cs="Arial"/>
          <w:b/>
          <w:sz w:val="24"/>
          <w:szCs w:val="24"/>
        </w:rPr>
      </w:pPr>
    </w:p>
    <w:p w:rsidR="00A15C52" w:rsidRDefault="00F72C33" w:rsidP="00A15C52">
      <w:pPr>
        <w:pStyle w:val="Prrafodelista"/>
        <w:numPr>
          <w:ilvl w:val="0"/>
          <w:numId w:val="11"/>
        </w:numPr>
        <w:spacing w:after="0" w:line="360" w:lineRule="auto"/>
        <w:ind w:left="0"/>
        <w:jc w:val="both"/>
        <w:rPr>
          <w:rFonts w:ascii="Palatino Linotype" w:hAnsi="Palatino Linotype" w:cs="Arial"/>
          <w:sz w:val="24"/>
          <w:szCs w:val="24"/>
        </w:rPr>
      </w:pPr>
      <w:r w:rsidRPr="00A15C52">
        <w:rPr>
          <w:rFonts w:ascii="Palatino Linotype" w:eastAsia="Times New Roman" w:hAnsi="Palatino Linotype" w:cs="Arial"/>
          <w:sz w:val="24"/>
          <w:szCs w:val="24"/>
          <w:lang w:val="es-ES_tradnl"/>
        </w:rPr>
        <w:t>La</w:t>
      </w:r>
      <w:r w:rsidRPr="008A7846">
        <w:rPr>
          <w:rFonts w:ascii="Palatino Linotype" w:hAnsi="Palatino Linotype" w:cs="Arial"/>
          <w:sz w:val="24"/>
          <w:szCs w:val="24"/>
        </w:rPr>
        <w:t xml:space="preserve"> resolución determina</w:t>
      </w:r>
      <w:r w:rsidR="008A7846">
        <w:rPr>
          <w:rFonts w:ascii="Palatino Linotype" w:hAnsi="Palatino Linotype" w:cs="Arial"/>
          <w:sz w:val="24"/>
          <w:szCs w:val="24"/>
        </w:rPr>
        <w:t xml:space="preserve"> </w:t>
      </w:r>
      <w:r w:rsidR="00A15C52">
        <w:rPr>
          <w:rFonts w:ascii="Palatino Linotype" w:hAnsi="Palatino Linotype" w:cs="Arial"/>
          <w:sz w:val="24"/>
          <w:szCs w:val="24"/>
        </w:rPr>
        <w:t xml:space="preserve">confirmar </w:t>
      </w:r>
      <w:r w:rsidR="009064F8">
        <w:rPr>
          <w:rFonts w:ascii="Palatino Linotype" w:hAnsi="Palatino Linotype" w:cs="Arial"/>
          <w:sz w:val="24"/>
          <w:szCs w:val="24"/>
        </w:rPr>
        <w:t xml:space="preserve"> la respuesta del </w:t>
      </w:r>
      <w:r w:rsidR="00A15C52">
        <w:rPr>
          <w:rFonts w:ascii="Palatino Linotype" w:hAnsi="Palatino Linotype" w:cs="Arial"/>
          <w:b/>
          <w:sz w:val="24"/>
          <w:szCs w:val="24"/>
        </w:rPr>
        <w:t xml:space="preserve">SUJETO OBLIGADO, </w:t>
      </w:r>
      <w:r w:rsidR="00A15C52">
        <w:rPr>
          <w:rFonts w:ascii="Palatino Linotype" w:hAnsi="Palatino Linotype" w:cs="Arial"/>
          <w:sz w:val="24"/>
          <w:szCs w:val="24"/>
        </w:rPr>
        <w:t xml:space="preserve">la cual consistió en manifestar que no cuenta con la información solicitada ya que su presupuesta es destinado para la operación y funcionamiento de la Procuraduría. </w:t>
      </w:r>
    </w:p>
    <w:p w:rsidR="00A15C52" w:rsidRPr="00A15C52" w:rsidRDefault="00A15C52" w:rsidP="00A15C52">
      <w:pPr>
        <w:pStyle w:val="Prrafodelista"/>
        <w:rPr>
          <w:rFonts w:ascii="Palatino Linotype" w:hAnsi="Palatino Linotype" w:cs="Arial"/>
          <w:sz w:val="24"/>
          <w:szCs w:val="24"/>
        </w:rPr>
      </w:pPr>
    </w:p>
    <w:p w:rsidR="00A143D1" w:rsidRPr="00A15C52" w:rsidRDefault="00703F02" w:rsidP="00A15C52">
      <w:pPr>
        <w:pStyle w:val="Prrafodelista"/>
        <w:numPr>
          <w:ilvl w:val="0"/>
          <w:numId w:val="11"/>
        </w:numPr>
        <w:spacing w:after="0" w:line="360" w:lineRule="auto"/>
        <w:ind w:left="0"/>
        <w:jc w:val="both"/>
        <w:rPr>
          <w:rFonts w:ascii="Palatino Linotype" w:hAnsi="Palatino Linotype" w:cs="Arial"/>
          <w:sz w:val="24"/>
          <w:szCs w:val="24"/>
        </w:rPr>
      </w:pPr>
      <w:r w:rsidRPr="00A15C52">
        <w:rPr>
          <w:rFonts w:ascii="Palatino Linotype" w:hAnsi="Palatino Linotype" w:cs="Arial"/>
          <w:sz w:val="24"/>
          <w:szCs w:val="24"/>
        </w:rPr>
        <w:t xml:space="preserve">Mi </w:t>
      </w:r>
      <w:r w:rsidR="00C02AF0" w:rsidRPr="00A15C52">
        <w:rPr>
          <w:rFonts w:ascii="Palatino Linotype" w:hAnsi="Palatino Linotype" w:cs="Arial"/>
          <w:sz w:val="24"/>
          <w:szCs w:val="24"/>
        </w:rPr>
        <w:t>voto</w:t>
      </w:r>
      <w:r w:rsidR="009309A6" w:rsidRPr="00A15C52">
        <w:rPr>
          <w:rFonts w:ascii="Palatino Linotype" w:hAnsi="Palatino Linotype" w:cs="Arial"/>
          <w:sz w:val="24"/>
          <w:szCs w:val="24"/>
        </w:rPr>
        <w:t xml:space="preserve"> particular deriva</w:t>
      </w:r>
      <w:r w:rsidR="0022425D" w:rsidRPr="00A15C52">
        <w:rPr>
          <w:rFonts w:ascii="Palatino Linotype" w:hAnsi="Palatino Linotype" w:cs="Arial"/>
          <w:sz w:val="24"/>
          <w:szCs w:val="24"/>
        </w:rPr>
        <w:t xml:space="preserve"> de</w:t>
      </w:r>
      <w:r w:rsidR="009309A6" w:rsidRPr="00A15C52">
        <w:rPr>
          <w:rFonts w:ascii="Palatino Linotype" w:hAnsi="Palatino Linotype" w:cs="Arial"/>
          <w:sz w:val="24"/>
          <w:szCs w:val="24"/>
        </w:rPr>
        <w:t xml:space="preserve"> que el </w:t>
      </w:r>
      <w:r w:rsidR="0022425D" w:rsidRPr="00A15C52">
        <w:rPr>
          <w:rFonts w:ascii="Palatino Linotype" w:hAnsi="Palatino Linotype" w:cs="Arial"/>
          <w:b/>
          <w:sz w:val="24"/>
          <w:szCs w:val="24"/>
        </w:rPr>
        <w:t xml:space="preserve">SUJETO OBLIGADO </w:t>
      </w:r>
      <w:r w:rsidR="00A15C52">
        <w:rPr>
          <w:rFonts w:ascii="Palatino Linotype" w:hAnsi="Palatino Linotype" w:cs="Arial"/>
          <w:sz w:val="24"/>
          <w:szCs w:val="24"/>
        </w:rPr>
        <w:t xml:space="preserve">omitió formular el acuerdo de incompetencia respecto de la información solicitada, únicamente se concretó en manifestar que no cuenta con la información solicitada.  </w:t>
      </w:r>
    </w:p>
    <w:p w:rsidR="0022425D" w:rsidRDefault="0022425D" w:rsidP="0022425D">
      <w:pPr>
        <w:pStyle w:val="Prrafodelista"/>
        <w:spacing w:before="240" w:after="240" w:line="360" w:lineRule="auto"/>
        <w:ind w:left="0"/>
        <w:jc w:val="both"/>
        <w:rPr>
          <w:rFonts w:ascii="Palatino Linotype" w:hAnsi="Palatino Linotype" w:cs="Arial"/>
          <w:sz w:val="24"/>
          <w:szCs w:val="24"/>
        </w:rPr>
      </w:pP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625340" w:rsidRPr="001C3008" w:rsidRDefault="00625340" w:rsidP="00625340">
      <w:pPr>
        <w:pStyle w:val="Ttulo1"/>
      </w:pPr>
      <w:bookmarkStart w:id="2" w:name="_Toc536470238"/>
      <w:r>
        <w:t xml:space="preserve">II.  </w:t>
      </w:r>
      <w:r w:rsidR="00611AB9">
        <w:t>Del Procedimiento de Acceso a la Información Pública</w:t>
      </w:r>
      <w:r w:rsidRPr="001C3008">
        <w:t>.</w:t>
      </w:r>
      <w:bookmarkEnd w:id="2"/>
    </w:p>
    <w:p w:rsidR="00625340" w:rsidRPr="001C3008" w:rsidRDefault="00625340" w:rsidP="00625340">
      <w:pPr>
        <w:pStyle w:val="Prrafodelista"/>
        <w:spacing w:after="0" w:line="360" w:lineRule="auto"/>
        <w:ind w:left="1080"/>
        <w:jc w:val="both"/>
        <w:rPr>
          <w:rFonts w:ascii="Palatino Linotype" w:hAnsi="Palatino Linotype" w:cs="Arial"/>
          <w:b/>
          <w:sz w:val="24"/>
          <w:szCs w:val="24"/>
        </w:rPr>
      </w:pPr>
    </w:p>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E661C7">
        <w:rPr>
          <w:rFonts w:ascii="Palatino Linotype" w:hAnsi="Palatino Linotype" w:cs="Arial"/>
          <w:sz w:val="24"/>
          <w:szCs w:val="24"/>
        </w:rPr>
        <w:t xml:space="preserve">y </w:t>
      </w:r>
      <w:r w:rsidR="001526FE">
        <w:rPr>
          <w:rFonts w:ascii="Palatino Linotype" w:hAnsi="Palatino Linotype" w:cs="Arial"/>
          <w:sz w:val="24"/>
          <w:szCs w:val="24"/>
        </w:rPr>
        <w:t>expedita propiciando lo</w:t>
      </w:r>
      <w:r w:rsidR="00E661C7">
        <w:rPr>
          <w:rFonts w:ascii="Palatino Linotype" w:hAnsi="Palatino Linotype" w:cs="Arial"/>
          <w:sz w:val="24"/>
          <w:szCs w:val="24"/>
        </w:rPr>
        <w:t xml:space="preserve">s condiciones para el acceso, entrega y publicación de información. </w:t>
      </w:r>
    </w:p>
    <w:p w:rsidR="00E661C7" w:rsidRDefault="00E661C7" w:rsidP="00E661C7">
      <w:pPr>
        <w:pStyle w:val="Prrafodelista"/>
        <w:spacing w:before="240" w:after="240" w:line="360" w:lineRule="auto"/>
        <w:ind w:left="0"/>
        <w:jc w:val="both"/>
        <w:rPr>
          <w:rFonts w:ascii="Palatino Linotype" w:hAnsi="Palatino Linotype" w:cs="Arial"/>
          <w:sz w:val="24"/>
          <w:szCs w:val="24"/>
        </w:rPr>
      </w:pPr>
    </w:p>
    <w:p w:rsidR="00284349" w:rsidRPr="00891EA5" w:rsidRDefault="00E661C7" w:rsidP="00A15C52">
      <w:pPr>
        <w:pStyle w:val="Prrafodelista"/>
        <w:numPr>
          <w:ilvl w:val="0"/>
          <w:numId w:val="11"/>
        </w:numPr>
        <w:spacing w:before="240" w:after="240" w:line="360" w:lineRule="auto"/>
        <w:ind w:left="0"/>
        <w:jc w:val="both"/>
        <w:rPr>
          <w:rFonts w:ascii="Palatino Linotype" w:hAnsi="Palatino Linotype" w:cs="Arial"/>
          <w:sz w:val="24"/>
          <w:szCs w:val="24"/>
        </w:rPr>
      </w:pPr>
      <w:r w:rsidRPr="00815B5D">
        <w:rPr>
          <w:rFonts w:ascii="Palatino Linotype" w:hAnsi="Palatino Linotype" w:cs="Arial"/>
          <w:sz w:val="24"/>
          <w:szCs w:val="24"/>
        </w:rPr>
        <w:t>E</w:t>
      </w:r>
      <w:r w:rsidR="00284349" w:rsidRPr="00815B5D">
        <w:rPr>
          <w:rFonts w:ascii="Palatino Linotype" w:hAnsi="Palatino Linotype" w:cs="Arial"/>
          <w:sz w:val="24"/>
          <w:szCs w:val="24"/>
        </w:rPr>
        <w:t>s de señalar que</w:t>
      </w:r>
      <w:r w:rsidR="0022425D">
        <w:rPr>
          <w:rFonts w:ascii="Palatino Linotype" w:hAnsi="Palatino Linotype" w:cs="Arial"/>
          <w:sz w:val="24"/>
          <w:szCs w:val="24"/>
        </w:rPr>
        <w:t xml:space="preserve"> el particular</w:t>
      </w:r>
      <w:r w:rsidR="00284349" w:rsidRPr="00815B5D">
        <w:rPr>
          <w:rFonts w:ascii="Palatino Linotype" w:hAnsi="Palatino Linotype" w:cs="Arial"/>
          <w:sz w:val="24"/>
          <w:szCs w:val="24"/>
        </w:rPr>
        <w:t xml:space="preserve"> </w:t>
      </w:r>
      <w:r w:rsidR="002376B4" w:rsidRPr="00815B5D">
        <w:rPr>
          <w:rFonts w:ascii="Palatino Linotype" w:hAnsi="Palatino Linotype" w:cs="Arial"/>
          <w:sz w:val="24"/>
          <w:szCs w:val="24"/>
        </w:rPr>
        <w:t>requirió de</w:t>
      </w:r>
      <w:r w:rsidR="00A15C52">
        <w:rPr>
          <w:rFonts w:ascii="Palatino Linotype" w:hAnsi="Palatino Linotype" w:cs="Arial"/>
          <w:sz w:val="24"/>
          <w:szCs w:val="24"/>
        </w:rPr>
        <w:t xml:space="preserve"> </w:t>
      </w:r>
      <w:r w:rsidR="0081758C">
        <w:rPr>
          <w:rFonts w:ascii="Palatino Linotype" w:hAnsi="Palatino Linotype" w:cs="Arial"/>
          <w:sz w:val="24"/>
          <w:szCs w:val="24"/>
        </w:rPr>
        <w:t>l</w:t>
      </w:r>
      <w:r w:rsidR="00A15C52">
        <w:rPr>
          <w:rFonts w:ascii="Palatino Linotype" w:hAnsi="Palatino Linotype" w:cs="Arial"/>
          <w:sz w:val="24"/>
          <w:szCs w:val="24"/>
        </w:rPr>
        <w:t>a</w:t>
      </w:r>
      <w:r w:rsidR="002376B4" w:rsidRPr="00815B5D">
        <w:rPr>
          <w:rFonts w:ascii="Palatino Linotype" w:hAnsi="Palatino Linotype" w:cs="Arial"/>
          <w:sz w:val="24"/>
          <w:szCs w:val="24"/>
        </w:rPr>
        <w:t xml:space="preserve"> </w:t>
      </w:r>
      <w:r w:rsidR="00A15C52">
        <w:rPr>
          <w:rFonts w:ascii="Palatino Linotype" w:hAnsi="Palatino Linotype" w:cs="Arial"/>
          <w:b/>
          <w:sz w:val="24"/>
          <w:szCs w:val="24"/>
        </w:rPr>
        <w:t xml:space="preserve">Procuraduría de Protección al Ambiente del Estado de México “… </w:t>
      </w:r>
      <w:r w:rsidR="0081758C" w:rsidRPr="00815B5D">
        <w:rPr>
          <w:rFonts w:ascii="Palatino Linotype" w:hAnsi="Palatino Linotype" w:cs="Arial"/>
          <w:i/>
          <w:sz w:val="24"/>
          <w:szCs w:val="24"/>
        </w:rPr>
        <w:t xml:space="preserve"> </w:t>
      </w:r>
      <w:r w:rsidR="00A15C52" w:rsidRPr="00A15C52">
        <w:rPr>
          <w:rFonts w:ascii="Palatino Linotype" w:hAnsi="Palatino Linotype" w:cs="Arial"/>
          <w:i/>
          <w:sz w:val="24"/>
          <w:szCs w:val="24"/>
        </w:rPr>
        <w:t>1. Programas de protección ambiental 2. Tratamiento de aguas residuales 3. Contratación de personal de inspección a industrias, empresas, transportes, recolectores de basura, etc. 4. Tratamiento de desechos en depósitos de basura 5. Los demás que sean considerados como gasto presupuestal en defensa de medio ambiente.</w:t>
      </w:r>
      <w:r w:rsidR="002376B4" w:rsidRPr="00891EA5">
        <w:rPr>
          <w:rFonts w:ascii="Palatino Linotype" w:hAnsi="Palatino Linotype" w:cs="Arial"/>
          <w:i/>
          <w:sz w:val="24"/>
          <w:szCs w:val="24"/>
        </w:rPr>
        <w:t>”</w:t>
      </w:r>
    </w:p>
    <w:p w:rsidR="008A491D" w:rsidRPr="008A491D" w:rsidRDefault="008A491D" w:rsidP="008A491D">
      <w:pPr>
        <w:pStyle w:val="Prrafodelista"/>
        <w:rPr>
          <w:rFonts w:ascii="Palatino Linotype" w:hAnsi="Palatino Linotype" w:cs="Arial"/>
          <w:sz w:val="24"/>
          <w:szCs w:val="24"/>
        </w:rPr>
      </w:pPr>
    </w:p>
    <w:p w:rsidR="00DE456D" w:rsidRDefault="00A54D8A" w:rsidP="00260A10">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lastRenderedPageBreak/>
        <w:t xml:space="preserve">Es menester destacar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atendió la solicitud de información ajustándose a lo dispuesto en el artículo 162 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que a la letra dice: </w:t>
      </w:r>
    </w:p>
    <w:p w:rsidR="00A54D8A" w:rsidRPr="00A54D8A" w:rsidRDefault="00A54D8A" w:rsidP="00A54D8A">
      <w:pPr>
        <w:pStyle w:val="Prrafodelista"/>
        <w:rPr>
          <w:rFonts w:ascii="Palatino Linotype" w:hAnsi="Palatino Linotype" w:cs="Arial"/>
          <w:sz w:val="24"/>
          <w:szCs w:val="24"/>
        </w:rPr>
      </w:pPr>
    </w:p>
    <w:p w:rsidR="00A54D8A" w:rsidRPr="00A54D8A" w:rsidRDefault="00A54D8A" w:rsidP="00A54D8A">
      <w:pPr>
        <w:pStyle w:val="Prrafodelista"/>
        <w:spacing w:line="360" w:lineRule="auto"/>
        <w:jc w:val="both"/>
        <w:rPr>
          <w:rFonts w:ascii="Palatino Linotype" w:hAnsi="Palatino Linotype" w:cs="Arial"/>
          <w:i/>
        </w:rPr>
      </w:pPr>
      <w:r>
        <w:rPr>
          <w:rFonts w:ascii="Palatino Linotype" w:hAnsi="Palatino Linotype" w:cs="Arial"/>
          <w:i/>
        </w:rPr>
        <w:t>“</w:t>
      </w:r>
      <w:r w:rsidRPr="00A54D8A">
        <w:rPr>
          <w:rFonts w:ascii="Palatino Linotype" w:hAnsi="Palatino Linotype" w:cs="Arial"/>
          <w:b/>
          <w:i/>
        </w:rPr>
        <w:t>Artículo 162</w:t>
      </w:r>
      <w:r w:rsidRPr="00A54D8A">
        <w:rPr>
          <w:rFonts w:ascii="Palatino Linotype" w:hAnsi="Palatino Linotype" w:cs="Arial"/>
          <w:i/>
        </w:rPr>
        <w:t xml:space="preserve">. Las unidades de transparencia deberán garantizar que las solicitudes se turnen a </w:t>
      </w:r>
      <w:r w:rsidRPr="00A54D8A">
        <w:rPr>
          <w:rFonts w:ascii="Palatino Linotype" w:hAnsi="Palatino Linotype" w:cs="Arial"/>
          <w:b/>
          <w:i/>
          <w:u w:val="single"/>
        </w:rPr>
        <w:t>todas las Áreas competentes que cuenten con la información o deban tenerla de acuerdo a sus facultades, competencias y funciones, con el objeto de que realicen una búsqueda exhaustiva y razonable</w:t>
      </w:r>
      <w:r w:rsidRPr="00A54D8A">
        <w:rPr>
          <w:rFonts w:ascii="Palatino Linotype" w:hAnsi="Palatino Linotype" w:cs="Arial"/>
          <w:i/>
        </w:rPr>
        <w:t xml:space="preserve"> de la información solicitada.</w:t>
      </w:r>
    </w:p>
    <w:p w:rsidR="00A54D8A" w:rsidRDefault="00A54D8A" w:rsidP="00A54D8A">
      <w:pPr>
        <w:pStyle w:val="Prrafodelista"/>
        <w:spacing w:after="0" w:line="360" w:lineRule="auto"/>
        <w:ind w:left="0"/>
        <w:jc w:val="both"/>
        <w:rPr>
          <w:rFonts w:ascii="Palatino Linotype" w:hAnsi="Palatino Linotype" w:cs="Arial"/>
          <w:sz w:val="24"/>
          <w:szCs w:val="24"/>
        </w:rPr>
      </w:pPr>
    </w:p>
    <w:p w:rsidR="00211C2A" w:rsidRPr="00C64249" w:rsidRDefault="00211C2A" w:rsidP="00211C2A">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Es así que la solicitud de información fue atendida por el Servidor Público Habilitado que de acuerdo a sus facultades, competencias y funciones pudiera generar, administrar o poseer la información, siendo este, el </w:t>
      </w:r>
      <w:r w:rsidR="00A15C52">
        <w:rPr>
          <w:rFonts w:ascii="Palatino Linotype" w:hAnsi="Palatino Linotype" w:cs="Arial"/>
          <w:sz w:val="24"/>
          <w:szCs w:val="24"/>
        </w:rPr>
        <w:t>Jefe de la Unidad de Apoyo Económico</w:t>
      </w:r>
      <w:r>
        <w:rPr>
          <w:rFonts w:ascii="Palatino Linotype" w:hAnsi="Palatino Linotype" w:cs="Arial"/>
          <w:sz w:val="24"/>
          <w:szCs w:val="24"/>
        </w:rPr>
        <w:t xml:space="preserve"> que en términos generales respondió:  </w:t>
      </w:r>
      <w:r w:rsidRPr="00211C2A">
        <w:rPr>
          <w:rFonts w:ascii="Palatino Linotype" w:hAnsi="Palatino Linotype" w:cs="Arial"/>
          <w:i/>
          <w:sz w:val="24"/>
          <w:szCs w:val="24"/>
        </w:rPr>
        <w:t>“</w:t>
      </w:r>
      <w:r w:rsidR="00A15C52">
        <w:rPr>
          <w:rFonts w:ascii="Palatino Linotype" w:hAnsi="Palatino Linotype" w:cs="Arial"/>
          <w:i/>
          <w:sz w:val="24"/>
          <w:szCs w:val="24"/>
        </w:rPr>
        <w:t>en la búsqueda exhaustiva realizada en los archivos de esta Unidad de Apoyo Administrativo, no se encontraron antecedentes de programas de esta índoles, en los cuales se aplique el presupuesto de este Organismo, ya que el que se tiene asignado es de origen Estatal, mismo que es destinado a la operación y funcionamiento de la PROPAEM</w:t>
      </w:r>
      <w:r w:rsidRPr="00211C2A">
        <w:rPr>
          <w:rFonts w:ascii="Palatino Linotype" w:hAnsi="Palatino Linotype" w:cs="Arial"/>
          <w:b/>
          <w:i/>
          <w:sz w:val="24"/>
          <w:szCs w:val="24"/>
        </w:rPr>
        <w:t>”.</w:t>
      </w:r>
    </w:p>
    <w:p w:rsidR="00C64249" w:rsidRDefault="00C64249" w:rsidP="00A43D90">
      <w:pPr>
        <w:pStyle w:val="Ttulo1"/>
        <w:numPr>
          <w:ilvl w:val="0"/>
          <w:numId w:val="15"/>
        </w:numPr>
      </w:pPr>
      <w:bookmarkStart w:id="3" w:name="_Toc536470239"/>
      <w:r>
        <w:t>De la fuente obligacional del Sujeto Obligado</w:t>
      </w:r>
      <w:bookmarkEnd w:id="3"/>
    </w:p>
    <w:p w:rsidR="00C64249" w:rsidRPr="00C64249" w:rsidRDefault="00C64249" w:rsidP="00C64249"/>
    <w:p w:rsidR="00C64249" w:rsidRDefault="00C64249" w:rsidP="00C64249">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El Sujeto Obligado en respuesta a la solicitud de información manifestó que el presupuesto asignado a la Procuraduría de origen estatal está destinado a la operación y funcionamiento de la misma, sin embargo es importante precisar que el </w:t>
      </w:r>
      <w:r>
        <w:rPr>
          <w:rFonts w:ascii="Palatino Linotype" w:hAnsi="Palatino Linotype" w:cs="Arial"/>
          <w:sz w:val="24"/>
          <w:szCs w:val="24"/>
        </w:rPr>
        <w:lastRenderedPageBreak/>
        <w:t xml:space="preserve">Decreto Ejecutivo del Estado por el que se transforma el Órgano Desconcentrado denominado Procuraduría de Protección al Ambiente del Estado de México en Organismo Descentralizado, establece en el artículo 4, fracción IX que es atribución de la Procuraduría elaborar, </w:t>
      </w:r>
      <w:r w:rsidRPr="00C64249">
        <w:rPr>
          <w:rFonts w:ascii="Palatino Linotype" w:hAnsi="Palatino Linotype" w:cs="Arial"/>
          <w:b/>
          <w:sz w:val="24"/>
          <w:szCs w:val="24"/>
          <w:u w:val="single"/>
        </w:rPr>
        <w:t>ejecutar</w:t>
      </w:r>
      <w:r>
        <w:rPr>
          <w:rFonts w:ascii="Palatino Linotype" w:hAnsi="Palatino Linotype" w:cs="Arial"/>
          <w:sz w:val="24"/>
          <w:szCs w:val="24"/>
        </w:rPr>
        <w:t xml:space="preserve"> y evaluar programas orientados a la conservación ecológica y protección al ambiente. </w:t>
      </w:r>
    </w:p>
    <w:p w:rsidR="00C64249" w:rsidRDefault="00C64249" w:rsidP="00C64249">
      <w:pPr>
        <w:pStyle w:val="Prrafodelista"/>
        <w:spacing w:after="0" w:line="360" w:lineRule="auto"/>
        <w:ind w:left="0"/>
        <w:jc w:val="both"/>
        <w:rPr>
          <w:rFonts w:ascii="Palatino Linotype" w:hAnsi="Palatino Linotype" w:cs="Arial"/>
          <w:sz w:val="24"/>
          <w:szCs w:val="24"/>
        </w:rPr>
      </w:pPr>
    </w:p>
    <w:p w:rsidR="00C64249" w:rsidRDefault="00C64249" w:rsidP="00C64249">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En el mismo sentido el </w:t>
      </w:r>
      <w:r w:rsidR="00A24349">
        <w:rPr>
          <w:rFonts w:ascii="Palatino Linotype" w:hAnsi="Palatino Linotype" w:cs="Arial"/>
          <w:sz w:val="24"/>
          <w:szCs w:val="24"/>
        </w:rPr>
        <w:t xml:space="preserve">Manual General de Organización de la Procuraduría de Protección al Ambiente del Estado de México dispone en el artículo 4, fracción IX, la misma atribución. </w:t>
      </w:r>
    </w:p>
    <w:p w:rsidR="00A24349" w:rsidRPr="00A24349" w:rsidRDefault="00A24349" w:rsidP="00A24349">
      <w:pPr>
        <w:pStyle w:val="Prrafodelista"/>
        <w:rPr>
          <w:rFonts w:ascii="Palatino Linotype" w:hAnsi="Palatino Linotype" w:cs="Arial"/>
          <w:sz w:val="24"/>
          <w:szCs w:val="24"/>
        </w:rPr>
      </w:pPr>
    </w:p>
    <w:p w:rsidR="00A24349" w:rsidRPr="00A24349" w:rsidRDefault="00A24349" w:rsidP="00A24349">
      <w:pPr>
        <w:pStyle w:val="Prrafodelista"/>
        <w:spacing w:after="0" w:line="360" w:lineRule="auto"/>
        <w:ind w:left="851" w:right="616"/>
        <w:jc w:val="both"/>
        <w:rPr>
          <w:rFonts w:ascii="Palatino Linotype" w:hAnsi="Palatino Linotype" w:cs="Arial"/>
          <w:i/>
        </w:rPr>
      </w:pPr>
      <w:r w:rsidRPr="00A24349">
        <w:rPr>
          <w:rFonts w:ascii="Palatino Linotype" w:hAnsi="Palatino Linotype" w:cs="Arial"/>
          <w:b/>
          <w:i/>
        </w:rPr>
        <w:t xml:space="preserve">“Artículo 4.- </w:t>
      </w:r>
      <w:r w:rsidRPr="00A24349">
        <w:rPr>
          <w:rFonts w:ascii="Palatino Linotype" w:hAnsi="Palatino Linotype" w:cs="Arial"/>
          <w:i/>
        </w:rPr>
        <w:t>Para cumplimiento de su objeto, la Procuraduría tendrá las siguiente atribuciones:</w:t>
      </w:r>
    </w:p>
    <w:p w:rsidR="00A24349" w:rsidRPr="00A24349" w:rsidRDefault="00A24349" w:rsidP="00A24349">
      <w:pPr>
        <w:pStyle w:val="Prrafodelista"/>
        <w:spacing w:after="0" w:line="360" w:lineRule="auto"/>
        <w:ind w:left="851" w:right="616"/>
        <w:jc w:val="both"/>
        <w:rPr>
          <w:rFonts w:ascii="Palatino Linotype" w:hAnsi="Palatino Linotype" w:cs="Arial"/>
          <w:i/>
        </w:rPr>
      </w:pPr>
      <w:r w:rsidRPr="00A24349">
        <w:rPr>
          <w:rFonts w:ascii="Palatino Linotype" w:hAnsi="Palatino Linotype" w:cs="Arial"/>
          <w:i/>
        </w:rPr>
        <w:t>…</w:t>
      </w:r>
    </w:p>
    <w:p w:rsidR="00A24349" w:rsidRPr="00A24349" w:rsidRDefault="00A24349" w:rsidP="00A24349">
      <w:pPr>
        <w:pStyle w:val="Prrafodelista"/>
        <w:spacing w:after="0" w:line="360" w:lineRule="auto"/>
        <w:ind w:left="851" w:right="616"/>
        <w:jc w:val="both"/>
        <w:rPr>
          <w:rFonts w:ascii="Palatino Linotype" w:hAnsi="Palatino Linotype" w:cs="Arial"/>
          <w:i/>
        </w:rPr>
      </w:pPr>
      <w:r w:rsidRPr="00A24349">
        <w:rPr>
          <w:rFonts w:ascii="Palatino Linotype" w:hAnsi="Palatino Linotype" w:cs="Arial"/>
          <w:i/>
        </w:rPr>
        <w:t>IX. E</w:t>
      </w:r>
      <w:r w:rsidRPr="00A24349">
        <w:rPr>
          <w:rFonts w:ascii="Palatino Linotype" w:hAnsi="Palatino Linotype" w:cs="Arial"/>
          <w:i/>
        </w:rPr>
        <w:t xml:space="preserve">laborar, </w:t>
      </w:r>
      <w:r w:rsidRPr="00A24349">
        <w:rPr>
          <w:rFonts w:ascii="Palatino Linotype" w:hAnsi="Palatino Linotype" w:cs="Arial"/>
          <w:b/>
          <w:i/>
          <w:u w:val="single"/>
        </w:rPr>
        <w:t>ejecutar</w:t>
      </w:r>
      <w:r w:rsidRPr="00A24349">
        <w:rPr>
          <w:rFonts w:ascii="Palatino Linotype" w:hAnsi="Palatino Linotype" w:cs="Arial"/>
          <w:i/>
        </w:rPr>
        <w:t xml:space="preserve"> y evaluar programas orientados a la conservación ecológica y protección al ambiente</w:t>
      </w:r>
    </w:p>
    <w:p w:rsidR="00A24349" w:rsidRDefault="00A24349" w:rsidP="00A24349">
      <w:pPr>
        <w:pStyle w:val="Prrafodelista"/>
        <w:spacing w:after="0" w:line="360" w:lineRule="auto"/>
        <w:ind w:left="851" w:right="616"/>
        <w:jc w:val="both"/>
        <w:rPr>
          <w:rFonts w:ascii="Palatino Linotype" w:hAnsi="Palatino Linotype" w:cs="Arial"/>
          <w:i/>
        </w:rPr>
      </w:pPr>
      <w:r w:rsidRPr="00A24349">
        <w:rPr>
          <w:rFonts w:ascii="Palatino Linotype" w:hAnsi="Palatino Linotype" w:cs="Arial"/>
          <w:i/>
        </w:rPr>
        <w:t>…”</w:t>
      </w:r>
    </w:p>
    <w:p w:rsidR="00A24349" w:rsidRDefault="00A24349" w:rsidP="00A24349">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Por consiguiente, de los preceptos jurídicos citados se deduce que como parte de las atribuciones del Sujeto Obligado, se encuentra la relativa a la ejecución de programas orientados a la conservación ecológica y protección al ambiente. </w:t>
      </w:r>
    </w:p>
    <w:p w:rsidR="00DE456D" w:rsidRDefault="00DE456D" w:rsidP="00A43D90">
      <w:pPr>
        <w:pStyle w:val="Ttulo1"/>
        <w:numPr>
          <w:ilvl w:val="0"/>
          <w:numId w:val="15"/>
        </w:numPr>
      </w:pPr>
      <w:bookmarkStart w:id="4" w:name="_Toc536470240"/>
      <w:r>
        <w:t xml:space="preserve">De </w:t>
      </w:r>
      <w:r w:rsidR="00A43D90">
        <w:t>acuerdo de incompetencia</w:t>
      </w:r>
      <w:r w:rsidRPr="001C3008">
        <w:t>.</w:t>
      </w:r>
      <w:bookmarkEnd w:id="4"/>
    </w:p>
    <w:p w:rsidR="00A43D90" w:rsidRPr="00A43D90" w:rsidRDefault="00A43D90" w:rsidP="00A43D90">
      <w:pPr>
        <w:pStyle w:val="Prrafodelista"/>
        <w:ind w:left="1080"/>
      </w:pPr>
    </w:p>
    <w:p w:rsidR="00A43D90" w:rsidRDefault="00A24349" w:rsidP="00064D2B">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E</w:t>
      </w:r>
      <w:r w:rsidR="00A43D90">
        <w:rPr>
          <w:rFonts w:ascii="Palatino Linotype" w:hAnsi="Palatino Linotype" w:cs="Arial"/>
          <w:sz w:val="24"/>
          <w:szCs w:val="24"/>
        </w:rPr>
        <w:t>s importante traer a contexto que la Ponencia</w:t>
      </w:r>
      <w:r w:rsidR="007C46E3">
        <w:rPr>
          <w:rFonts w:ascii="Palatino Linotype" w:hAnsi="Palatino Linotype" w:cs="Arial"/>
          <w:sz w:val="24"/>
          <w:szCs w:val="24"/>
        </w:rPr>
        <w:t xml:space="preserve">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consideró</w:t>
      </w:r>
      <w:r w:rsidR="00C64249">
        <w:rPr>
          <w:rFonts w:ascii="Palatino Linotype" w:hAnsi="Palatino Linotype" w:cs="Arial"/>
          <w:sz w:val="24"/>
          <w:szCs w:val="24"/>
        </w:rPr>
        <w:t xml:space="preserve"> </w:t>
      </w:r>
      <w:r>
        <w:rPr>
          <w:rFonts w:ascii="Palatino Linotype" w:hAnsi="Palatino Linotype" w:cs="Arial"/>
          <w:sz w:val="24"/>
          <w:szCs w:val="24"/>
        </w:rPr>
        <w:t xml:space="preserve">infundadas las razones o motivos de inconformidad, por lo que confirmó  la respuesta a la solicitud </w:t>
      </w:r>
      <w:r w:rsidRPr="00A24349">
        <w:rPr>
          <w:rFonts w:ascii="Palatino Linotype" w:hAnsi="Palatino Linotype" w:cs="Arial"/>
          <w:sz w:val="24"/>
          <w:szCs w:val="24"/>
        </w:rPr>
        <w:lastRenderedPageBreak/>
        <w:t xml:space="preserve">de información, en razón de que el Sujeto Obligado manifestó que </w:t>
      </w:r>
      <w:r w:rsidRPr="00A24349">
        <w:rPr>
          <w:rFonts w:ascii="Palatino Linotype" w:hAnsi="Palatino Linotype"/>
          <w:sz w:val="24"/>
          <w:szCs w:val="24"/>
        </w:rPr>
        <w:t xml:space="preserve">el presupuesto que le es otorgado es para la operación y funcionamiento de la </w:t>
      </w:r>
      <w:r w:rsidRPr="00A24349">
        <w:rPr>
          <w:rFonts w:ascii="Palatino Linotype" w:hAnsi="Palatino Linotype" w:cs="Arial"/>
          <w:sz w:val="24"/>
          <w:szCs w:val="24"/>
        </w:rPr>
        <w:t>Procuraduría y no para programas en Municipios del Estado de México, lo c</w:t>
      </w:r>
      <w:r>
        <w:rPr>
          <w:rFonts w:ascii="Palatino Linotype" w:hAnsi="Palatino Linotype" w:cs="Arial"/>
          <w:sz w:val="24"/>
          <w:szCs w:val="24"/>
        </w:rPr>
        <w:t>ual constituye un hecho negativo, sin embargo, dado que como parte de las atribuciones de la Procuraduría corresponde ejecutar programas, el Sujeto Obligado</w:t>
      </w:r>
      <w:r w:rsidR="007C46E3" w:rsidRPr="00A24349">
        <w:rPr>
          <w:rFonts w:ascii="Palatino Linotype" w:hAnsi="Palatino Linotype" w:cs="Arial"/>
          <w:sz w:val="24"/>
          <w:szCs w:val="24"/>
        </w:rPr>
        <w:t xml:space="preserve"> debió dar cumplimiento</w:t>
      </w:r>
      <w:r w:rsidR="007C46E3">
        <w:rPr>
          <w:rFonts w:ascii="Palatino Linotype" w:hAnsi="Palatino Linotype" w:cs="Arial"/>
          <w:sz w:val="24"/>
          <w:szCs w:val="24"/>
        </w:rPr>
        <w:t xml:space="preserve"> a lo dispuesto en el artículo 167 de la </w:t>
      </w:r>
      <w:r w:rsidR="007C46E3">
        <w:rPr>
          <w:rFonts w:ascii="Palatino Linotype" w:hAnsi="Palatino Linotype" w:cs="Arial"/>
          <w:b/>
          <w:sz w:val="24"/>
          <w:szCs w:val="24"/>
        </w:rPr>
        <w:t>Ley de Transparencia y Acceso a la Información Pública del Estado de México y Municipios</w:t>
      </w:r>
      <w:r w:rsidR="002B5E15">
        <w:rPr>
          <w:rFonts w:ascii="Palatino Linotype" w:hAnsi="Palatino Linotype" w:cs="Arial"/>
          <w:b/>
          <w:sz w:val="24"/>
          <w:szCs w:val="24"/>
        </w:rPr>
        <w:t xml:space="preserve"> </w:t>
      </w:r>
      <w:r w:rsidR="002B5E15">
        <w:rPr>
          <w:rFonts w:ascii="Palatino Linotype" w:hAnsi="Palatino Linotype" w:cs="Arial"/>
          <w:sz w:val="24"/>
          <w:szCs w:val="24"/>
        </w:rPr>
        <w:t xml:space="preserve">que establece que en los casos en que el </w:t>
      </w:r>
      <w:r>
        <w:rPr>
          <w:rFonts w:ascii="Palatino Linotype" w:hAnsi="Palatino Linotype" w:cs="Arial"/>
          <w:sz w:val="24"/>
          <w:szCs w:val="24"/>
        </w:rPr>
        <w:t xml:space="preserve">Sujeto Obligado </w:t>
      </w:r>
      <w:r w:rsidR="002B5E15">
        <w:rPr>
          <w:rFonts w:ascii="Palatino Linotype" w:hAnsi="Palatino Linotype" w:cs="Arial"/>
          <w:sz w:val="24"/>
          <w:szCs w:val="24"/>
        </w:rPr>
        <w:t xml:space="preserve">sea incompetente para dar contestación a la solicitud de información deberá notificar al particular dentro de los tres días hábiles posteriores a la recepción de la solicitud y de ser el caso orientarlo con el Sujeto Obligado, sin embargo la respuesta fue emitida fuera del plazo señalado por la Ley, razón por la que la ponencia </w:t>
      </w:r>
      <w:r>
        <w:rPr>
          <w:rFonts w:ascii="Palatino Linotype" w:hAnsi="Palatino Linotype" w:cs="Arial"/>
          <w:sz w:val="24"/>
          <w:szCs w:val="24"/>
        </w:rPr>
        <w:t xml:space="preserve">debió considerar ordenar el acuerdo de incompetencia </w:t>
      </w:r>
      <w:r w:rsidR="002B5E15">
        <w:rPr>
          <w:rFonts w:ascii="Palatino Linotype" w:hAnsi="Palatino Linotype" w:cs="Arial"/>
          <w:sz w:val="24"/>
          <w:szCs w:val="24"/>
        </w:rPr>
        <w:t xml:space="preserve">en términos del artículo 49  de la Ley de Transparencia de la entidad que establece: </w:t>
      </w:r>
    </w:p>
    <w:p w:rsidR="002B5E15" w:rsidRDefault="002B5E15" w:rsidP="002B5E15">
      <w:pPr>
        <w:pStyle w:val="Prrafodelista"/>
        <w:spacing w:after="0" w:line="360" w:lineRule="auto"/>
        <w:ind w:left="0"/>
        <w:jc w:val="both"/>
        <w:rPr>
          <w:rFonts w:ascii="Palatino Linotype" w:hAnsi="Palatino Linotype" w:cs="Arial"/>
          <w:sz w:val="24"/>
          <w:szCs w:val="24"/>
        </w:rPr>
      </w:pPr>
    </w:p>
    <w:p w:rsidR="002B5E15" w:rsidRPr="00805B80" w:rsidRDefault="002B5E15" w:rsidP="002B5E15">
      <w:pPr>
        <w:ind w:left="709" w:right="757"/>
        <w:jc w:val="both"/>
        <w:rPr>
          <w:rFonts w:ascii="Palatino Linotype" w:eastAsia="Calibri" w:hAnsi="Palatino Linotype" w:cs="Arial"/>
          <w:i/>
        </w:rPr>
      </w:pPr>
      <w:r w:rsidRPr="00805B80">
        <w:rPr>
          <w:rFonts w:ascii="Palatino Linotype" w:eastAsia="Calibri" w:hAnsi="Palatino Linotype" w:cs="Arial"/>
          <w:i/>
        </w:rPr>
        <w:t>“</w:t>
      </w:r>
      <w:r w:rsidRPr="00805B80">
        <w:rPr>
          <w:rFonts w:ascii="Palatino Linotype" w:eastAsia="Calibri" w:hAnsi="Palatino Linotype" w:cs="Arial"/>
          <w:b/>
          <w:i/>
        </w:rPr>
        <w:t>Artículo 49</w:t>
      </w:r>
      <w:r w:rsidRPr="00805B80">
        <w:rPr>
          <w:rFonts w:ascii="Palatino Linotype" w:eastAsia="Calibri" w:hAnsi="Palatino Linotype" w:cs="Arial"/>
          <w:i/>
        </w:rPr>
        <w:t>. Los Comités de Transparencia tendrán las siguientes atribuciones:</w:t>
      </w:r>
    </w:p>
    <w:p w:rsidR="002B5E15" w:rsidRPr="00805B80" w:rsidRDefault="002B5E15" w:rsidP="002B5E15">
      <w:pPr>
        <w:ind w:left="709" w:right="757"/>
        <w:jc w:val="both"/>
        <w:rPr>
          <w:rFonts w:ascii="Palatino Linotype" w:eastAsia="Calibri" w:hAnsi="Palatino Linotype" w:cs="Arial"/>
          <w:i/>
          <w:sz w:val="8"/>
          <w:szCs w:val="8"/>
        </w:rPr>
      </w:pPr>
    </w:p>
    <w:p w:rsidR="002B5E15" w:rsidRPr="00805B80" w:rsidRDefault="002B5E15" w:rsidP="002B5E15">
      <w:pPr>
        <w:ind w:left="709" w:right="757"/>
        <w:jc w:val="both"/>
        <w:rPr>
          <w:rFonts w:ascii="Palatino Linotype" w:eastAsia="Calibri" w:hAnsi="Palatino Linotype" w:cs="Arial"/>
          <w:i/>
        </w:rPr>
      </w:pPr>
      <w:r w:rsidRPr="00805B80">
        <w:rPr>
          <w:rFonts w:ascii="Palatino Linotype" w:eastAsia="Calibri" w:hAnsi="Palatino Linotype" w:cs="Arial"/>
          <w:b/>
          <w:i/>
        </w:rPr>
        <w:t>I</w:t>
      </w:r>
      <w:r w:rsidRPr="00805B80">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2B5E15" w:rsidRPr="00805B80" w:rsidRDefault="002B5E15" w:rsidP="002B5E15">
      <w:pPr>
        <w:ind w:left="709" w:right="757"/>
        <w:jc w:val="both"/>
        <w:rPr>
          <w:rFonts w:ascii="Palatino Linotype" w:eastAsia="Calibri" w:hAnsi="Palatino Linotype" w:cs="Arial"/>
          <w:i/>
        </w:rPr>
      </w:pPr>
    </w:p>
    <w:p w:rsidR="002B5E15" w:rsidRPr="00805B80" w:rsidRDefault="002B5E15" w:rsidP="002B5E15">
      <w:pPr>
        <w:ind w:left="709" w:right="757"/>
        <w:jc w:val="both"/>
        <w:rPr>
          <w:rFonts w:ascii="Palatino Linotype" w:eastAsia="Calibri" w:hAnsi="Palatino Linotype" w:cs="Arial"/>
          <w:i/>
        </w:rPr>
      </w:pPr>
      <w:r w:rsidRPr="00805B80">
        <w:rPr>
          <w:rFonts w:ascii="Palatino Linotype" w:eastAsia="Calibri" w:hAnsi="Palatino Linotype" w:cs="Arial"/>
          <w:b/>
          <w:i/>
        </w:rPr>
        <w:t>II</w:t>
      </w:r>
      <w:r w:rsidRPr="00805B80">
        <w:rPr>
          <w:rFonts w:ascii="Palatino Linotype" w:eastAsia="Calibri" w:hAnsi="Palatino Linotype" w:cs="Arial"/>
          <w:i/>
        </w:rPr>
        <w:t xml:space="preserve">. Confirmar, modificar o revocar las determinaciones que en materia de ampliación del plazo de respuesta, clasificación de la información y declaración de inexistencia o de </w:t>
      </w:r>
      <w:r w:rsidRPr="002B5E15">
        <w:rPr>
          <w:rFonts w:ascii="Palatino Linotype" w:eastAsia="Calibri" w:hAnsi="Palatino Linotype" w:cs="Arial"/>
          <w:b/>
          <w:i/>
        </w:rPr>
        <w:t>incompetencia realicen los titulares de las áreas de los sujetos obligados</w:t>
      </w:r>
      <w:r w:rsidRPr="00805B80">
        <w:rPr>
          <w:rFonts w:ascii="Palatino Linotype" w:eastAsia="Calibri" w:hAnsi="Palatino Linotype" w:cs="Arial"/>
          <w:i/>
        </w:rPr>
        <w:t>;”</w:t>
      </w:r>
    </w:p>
    <w:p w:rsidR="007C46E3" w:rsidRDefault="007C46E3" w:rsidP="007C46E3">
      <w:pPr>
        <w:pStyle w:val="Prrafodelista"/>
        <w:spacing w:after="0" w:line="360" w:lineRule="auto"/>
        <w:ind w:left="0"/>
        <w:jc w:val="both"/>
        <w:rPr>
          <w:rFonts w:ascii="Palatino Linotype" w:hAnsi="Palatino Linotype" w:cs="Arial"/>
          <w:sz w:val="24"/>
          <w:szCs w:val="24"/>
        </w:rPr>
      </w:pPr>
    </w:p>
    <w:p w:rsidR="006A4042" w:rsidRDefault="006A4042" w:rsidP="006A4042">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lastRenderedPageBreak/>
        <w:t xml:space="preserve">En este sentido y toda vez que la normatividad citada establece que es facultad de la </w:t>
      </w:r>
      <w:r>
        <w:rPr>
          <w:rFonts w:ascii="Palatino Linotype" w:hAnsi="Palatino Linotype" w:cs="Arial"/>
          <w:b/>
          <w:sz w:val="24"/>
          <w:szCs w:val="24"/>
        </w:rPr>
        <w:t xml:space="preserve">Procuraduría de Protección al Ambiente del Estado de México </w:t>
      </w:r>
      <w:r>
        <w:rPr>
          <w:rFonts w:ascii="Palatino Linotype" w:hAnsi="Palatino Linotype" w:cs="Arial"/>
          <w:sz w:val="24"/>
          <w:szCs w:val="24"/>
        </w:rPr>
        <w:t xml:space="preserve">ejecutar programas orientados a la conservación ecológica y protección al ambiente, la Ponencia </w:t>
      </w:r>
      <w:proofErr w:type="spellStart"/>
      <w:r>
        <w:rPr>
          <w:rFonts w:ascii="Palatino Linotype" w:hAnsi="Palatino Linotype" w:cs="Arial"/>
          <w:sz w:val="24"/>
          <w:szCs w:val="24"/>
        </w:rPr>
        <w:t>resolutara</w:t>
      </w:r>
      <w:proofErr w:type="spellEnd"/>
      <w:r>
        <w:rPr>
          <w:rFonts w:ascii="Palatino Linotype" w:hAnsi="Palatino Linotype" w:cs="Arial"/>
          <w:sz w:val="24"/>
          <w:szCs w:val="24"/>
        </w:rPr>
        <w:t xml:space="preserve"> debió ordenar el acuerdo de incompetencia, con el objeto de dar pleno cumplimiento a lo dispuesto por la Ley en materia de Transparencia y sobre todo, dar certeza al particular de la efectiva protección del derecho de acceso a la información, </w:t>
      </w:r>
      <w:r w:rsidRPr="006A4042">
        <w:rPr>
          <w:rFonts w:ascii="Palatino Linotype" w:hAnsi="Palatino Linotype"/>
          <w:sz w:val="24"/>
          <w:szCs w:val="24"/>
        </w:rPr>
        <w:t xml:space="preserve"> </w:t>
      </w:r>
      <w:r w:rsidRPr="006A4042">
        <w:rPr>
          <w:rFonts w:ascii="Palatino Linotype" w:hAnsi="Palatino Linotype" w:cs="Arial"/>
          <w:sz w:val="24"/>
          <w:szCs w:val="24"/>
        </w:rPr>
        <w:t xml:space="preserve">por </w:t>
      </w:r>
      <w:r w:rsidRPr="006A4042">
        <w:rPr>
          <w:rFonts w:ascii="Palatino Linotype" w:hAnsi="Palatino Linotype" w:cs="Arial"/>
          <w:sz w:val="24"/>
          <w:szCs w:val="24"/>
        </w:rPr>
        <w:t>tanto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6A4042" w:rsidRDefault="006A4042" w:rsidP="006A4042">
      <w:pPr>
        <w:spacing w:after="0" w:line="360" w:lineRule="auto"/>
        <w:jc w:val="both"/>
        <w:rPr>
          <w:rFonts w:ascii="Palatino Linotype" w:hAnsi="Palatino Linotype" w:cs="Arial"/>
          <w:sz w:val="24"/>
          <w:szCs w:val="24"/>
        </w:rPr>
      </w:pPr>
    </w:p>
    <w:p w:rsidR="006A4042" w:rsidRPr="006A4042" w:rsidRDefault="006A4042" w:rsidP="006A4042">
      <w:pPr>
        <w:spacing w:after="0" w:line="360" w:lineRule="auto"/>
        <w:jc w:val="both"/>
        <w:rPr>
          <w:rFonts w:ascii="Palatino Linotype" w:hAnsi="Palatino Linotype" w:cs="Arial"/>
          <w:sz w:val="24"/>
          <w:szCs w:val="24"/>
        </w:rPr>
      </w:pPr>
    </w:p>
    <w:p w:rsidR="00D02606" w:rsidRDefault="00D02606" w:rsidP="00F15522">
      <w:pPr>
        <w:pStyle w:val="Prrafodelista"/>
        <w:spacing w:after="0" w:line="360" w:lineRule="auto"/>
        <w:ind w:left="0"/>
        <w:jc w:val="both"/>
        <w:rPr>
          <w:rFonts w:ascii="Palatino Linotype" w:hAnsi="Palatino Linotype" w:cs="Arial"/>
          <w:sz w:val="24"/>
          <w:szCs w:val="24"/>
        </w:rPr>
      </w:pPr>
    </w:p>
    <w:p w:rsidR="00625340" w:rsidRPr="001C3008" w:rsidRDefault="00625340" w:rsidP="00625340">
      <w:pPr>
        <w:spacing w:line="36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JOSÉ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6A4042" w:rsidRDefault="006A4042" w:rsidP="006A4042">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 xml:space="preserve">(Rúbrica) </w:t>
      </w:r>
    </w:p>
    <w:p w:rsidR="006A4042" w:rsidRDefault="006A4042" w:rsidP="006A4042">
      <w:pPr>
        <w:spacing w:line="360" w:lineRule="auto"/>
      </w:pPr>
    </w:p>
    <w:p w:rsidR="00E940EB" w:rsidRPr="00BD29B2" w:rsidRDefault="00B31F6E" w:rsidP="006A4042">
      <w:pPr>
        <w:spacing w:line="360" w:lineRule="auto"/>
      </w:pPr>
      <w:r>
        <w:t>SAVP/SEV</w:t>
      </w:r>
    </w:p>
    <w:sectPr w:rsidR="00E940EB"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70" w:rsidRDefault="000C6A70" w:rsidP="00DC559A">
      <w:pPr>
        <w:spacing w:after="0" w:line="240" w:lineRule="auto"/>
      </w:pPr>
      <w:r>
        <w:separator/>
      </w:r>
    </w:p>
  </w:endnote>
  <w:endnote w:type="continuationSeparator" w:id="0">
    <w:p w:rsidR="000C6A70" w:rsidRDefault="000C6A70"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404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4042">
              <w:rPr>
                <w:b/>
                <w:bCs/>
                <w:noProof/>
              </w:rPr>
              <w:t>7</w:t>
            </w:r>
            <w:r>
              <w:rPr>
                <w:b/>
                <w:bCs/>
                <w:sz w:val="24"/>
                <w:szCs w:val="24"/>
              </w:rPr>
              <w:fldChar w:fldCharType="end"/>
            </w:r>
          </w:p>
        </w:sdtContent>
      </w:sdt>
    </w:sdtContent>
  </w:sdt>
  <w:p w:rsidR="00951E8B" w:rsidRDefault="000C6A70"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70" w:rsidRDefault="000C6A70" w:rsidP="00DC559A">
      <w:pPr>
        <w:spacing w:after="0" w:line="240" w:lineRule="auto"/>
      </w:pPr>
      <w:r>
        <w:separator/>
      </w:r>
    </w:p>
  </w:footnote>
  <w:footnote w:type="continuationSeparator" w:id="0">
    <w:p w:rsidR="000C6A70" w:rsidRDefault="000C6A70"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C6A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C6A70">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0C6A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C6A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953911"/>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BB05E5"/>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3"/>
  </w:num>
  <w:num w:numId="2">
    <w:abstractNumId w:val="1"/>
  </w:num>
  <w:num w:numId="3">
    <w:abstractNumId w:val="14"/>
  </w:num>
  <w:num w:numId="4">
    <w:abstractNumId w:val="7"/>
  </w:num>
  <w:num w:numId="5">
    <w:abstractNumId w:val="19"/>
  </w:num>
  <w:num w:numId="6">
    <w:abstractNumId w:val="8"/>
  </w:num>
  <w:num w:numId="7">
    <w:abstractNumId w:val="18"/>
  </w:num>
  <w:num w:numId="8">
    <w:abstractNumId w:val="16"/>
  </w:num>
  <w:num w:numId="9">
    <w:abstractNumId w:val="4"/>
  </w:num>
  <w:num w:numId="10">
    <w:abstractNumId w:val="2"/>
  </w:num>
  <w:num w:numId="11">
    <w:abstractNumId w:val="5"/>
  </w:num>
  <w:num w:numId="12">
    <w:abstractNumId w:val="10"/>
  </w:num>
  <w:num w:numId="13">
    <w:abstractNumId w:val="11"/>
  </w:num>
  <w:num w:numId="14">
    <w:abstractNumId w:val="17"/>
  </w:num>
  <w:num w:numId="15">
    <w:abstractNumId w:val="0"/>
  </w:num>
  <w:num w:numId="16">
    <w:abstractNumId w:val="12"/>
  </w:num>
  <w:num w:numId="17">
    <w:abstractNumId w:val="3"/>
  </w:num>
  <w:num w:numId="18">
    <w:abstractNumId w:val="20"/>
  </w:num>
  <w:num w:numId="19">
    <w:abstractNumId w:val="9"/>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227F4"/>
    <w:rsid w:val="00026199"/>
    <w:rsid w:val="0002684D"/>
    <w:rsid w:val="00037C7C"/>
    <w:rsid w:val="00053B2E"/>
    <w:rsid w:val="00064D2B"/>
    <w:rsid w:val="00094E33"/>
    <w:rsid w:val="000C6A70"/>
    <w:rsid w:val="000D5811"/>
    <w:rsid w:val="000D79A0"/>
    <w:rsid w:val="000E43AB"/>
    <w:rsid w:val="000F4071"/>
    <w:rsid w:val="00105BA2"/>
    <w:rsid w:val="00123E1D"/>
    <w:rsid w:val="00134DA0"/>
    <w:rsid w:val="00141135"/>
    <w:rsid w:val="00145961"/>
    <w:rsid w:val="001526FE"/>
    <w:rsid w:val="001620F1"/>
    <w:rsid w:val="00175E9F"/>
    <w:rsid w:val="00183A1B"/>
    <w:rsid w:val="00187E2D"/>
    <w:rsid w:val="001A3FF7"/>
    <w:rsid w:val="001B78B7"/>
    <w:rsid w:val="001D09E6"/>
    <w:rsid w:val="001D465C"/>
    <w:rsid w:val="001F068A"/>
    <w:rsid w:val="00203EB6"/>
    <w:rsid w:val="0020553B"/>
    <w:rsid w:val="00211C2A"/>
    <w:rsid w:val="00220BB9"/>
    <w:rsid w:val="0022425D"/>
    <w:rsid w:val="00225758"/>
    <w:rsid w:val="002376B4"/>
    <w:rsid w:val="00260A10"/>
    <w:rsid w:val="00267F73"/>
    <w:rsid w:val="00274EF3"/>
    <w:rsid w:val="00283F2C"/>
    <w:rsid w:val="00284349"/>
    <w:rsid w:val="002948E5"/>
    <w:rsid w:val="002B4023"/>
    <w:rsid w:val="002B5E15"/>
    <w:rsid w:val="002D63B3"/>
    <w:rsid w:val="00300947"/>
    <w:rsid w:val="00323DF8"/>
    <w:rsid w:val="00336BC3"/>
    <w:rsid w:val="0034151E"/>
    <w:rsid w:val="003431E5"/>
    <w:rsid w:val="0036287F"/>
    <w:rsid w:val="00384C92"/>
    <w:rsid w:val="00386B7F"/>
    <w:rsid w:val="00393382"/>
    <w:rsid w:val="0039566E"/>
    <w:rsid w:val="003B6EC6"/>
    <w:rsid w:val="003C7564"/>
    <w:rsid w:val="00432104"/>
    <w:rsid w:val="00435284"/>
    <w:rsid w:val="004665BF"/>
    <w:rsid w:val="00472AF0"/>
    <w:rsid w:val="0048383C"/>
    <w:rsid w:val="004A69D6"/>
    <w:rsid w:val="004B4E07"/>
    <w:rsid w:val="004C3125"/>
    <w:rsid w:val="004C73FB"/>
    <w:rsid w:val="004D1010"/>
    <w:rsid w:val="004E5E88"/>
    <w:rsid w:val="004F3292"/>
    <w:rsid w:val="00517976"/>
    <w:rsid w:val="00541FA8"/>
    <w:rsid w:val="005429BB"/>
    <w:rsid w:val="00546237"/>
    <w:rsid w:val="005471F8"/>
    <w:rsid w:val="0056327C"/>
    <w:rsid w:val="00570DFF"/>
    <w:rsid w:val="00571B97"/>
    <w:rsid w:val="00585BED"/>
    <w:rsid w:val="0059666F"/>
    <w:rsid w:val="005A4257"/>
    <w:rsid w:val="005B711D"/>
    <w:rsid w:val="005E6A45"/>
    <w:rsid w:val="00611AB9"/>
    <w:rsid w:val="00625340"/>
    <w:rsid w:val="00636179"/>
    <w:rsid w:val="00650D44"/>
    <w:rsid w:val="006773C0"/>
    <w:rsid w:val="006A4042"/>
    <w:rsid w:val="006D22C2"/>
    <w:rsid w:val="006E15F4"/>
    <w:rsid w:val="006E4346"/>
    <w:rsid w:val="006E7A8B"/>
    <w:rsid w:val="006F18A4"/>
    <w:rsid w:val="00703F02"/>
    <w:rsid w:val="00712288"/>
    <w:rsid w:val="00764FF6"/>
    <w:rsid w:val="00771D7C"/>
    <w:rsid w:val="00781495"/>
    <w:rsid w:val="0078520D"/>
    <w:rsid w:val="0078690A"/>
    <w:rsid w:val="007A13C3"/>
    <w:rsid w:val="007A6841"/>
    <w:rsid w:val="007B4C9B"/>
    <w:rsid w:val="007C46E3"/>
    <w:rsid w:val="007D5A9C"/>
    <w:rsid w:val="0080411B"/>
    <w:rsid w:val="00815B5D"/>
    <w:rsid w:val="0081758C"/>
    <w:rsid w:val="00841881"/>
    <w:rsid w:val="00870BA6"/>
    <w:rsid w:val="00891EA5"/>
    <w:rsid w:val="008A491D"/>
    <w:rsid w:val="008A7846"/>
    <w:rsid w:val="008B4955"/>
    <w:rsid w:val="008F435F"/>
    <w:rsid w:val="00900C7B"/>
    <w:rsid w:val="009064F8"/>
    <w:rsid w:val="0092289B"/>
    <w:rsid w:val="00927436"/>
    <w:rsid w:val="009309A6"/>
    <w:rsid w:val="00963FCC"/>
    <w:rsid w:val="00964B55"/>
    <w:rsid w:val="009749F9"/>
    <w:rsid w:val="00992F9E"/>
    <w:rsid w:val="009B6AAE"/>
    <w:rsid w:val="009C6D1F"/>
    <w:rsid w:val="009E08AF"/>
    <w:rsid w:val="009F7309"/>
    <w:rsid w:val="00A11153"/>
    <w:rsid w:val="00A143D1"/>
    <w:rsid w:val="00A15C52"/>
    <w:rsid w:val="00A24349"/>
    <w:rsid w:val="00A37917"/>
    <w:rsid w:val="00A43D90"/>
    <w:rsid w:val="00A54D8A"/>
    <w:rsid w:val="00A66803"/>
    <w:rsid w:val="00A74748"/>
    <w:rsid w:val="00A801BF"/>
    <w:rsid w:val="00A822DE"/>
    <w:rsid w:val="00A828B4"/>
    <w:rsid w:val="00A912FC"/>
    <w:rsid w:val="00A947EF"/>
    <w:rsid w:val="00AA45BE"/>
    <w:rsid w:val="00AB5584"/>
    <w:rsid w:val="00AC07BB"/>
    <w:rsid w:val="00AD7692"/>
    <w:rsid w:val="00AE30E5"/>
    <w:rsid w:val="00AE455C"/>
    <w:rsid w:val="00AE4A2B"/>
    <w:rsid w:val="00AE7918"/>
    <w:rsid w:val="00B02F56"/>
    <w:rsid w:val="00B14EBC"/>
    <w:rsid w:val="00B17543"/>
    <w:rsid w:val="00B21506"/>
    <w:rsid w:val="00B31F6E"/>
    <w:rsid w:val="00B43601"/>
    <w:rsid w:val="00B47F96"/>
    <w:rsid w:val="00B51CAC"/>
    <w:rsid w:val="00B757E9"/>
    <w:rsid w:val="00B87289"/>
    <w:rsid w:val="00BC3314"/>
    <w:rsid w:val="00BD29B2"/>
    <w:rsid w:val="00BD586B"/>
    <w:rsid w:val="00BE26FB"/>
    <w:rsid w:val="00BE6E85"/>
    <w:rsid w:val="00BF0ED2"/>
    <w:rsid w:val="00C02AF0"/>
    <w:rsid w:val="00C230CB"/>
    <w:rsid w:val="00C60B48"/>
    <w:rsid w:val="00C64249"/>
    <w:rsid w:val="00CA1D90"/>
    <w:rsid w:val="00CD3FD7"/>
    <w:rsid w:val="00CD49FA"/>
    <w:rsid w:val="00CD77B9"/>
    <w:rsid w:val="00CE64A4"/>
    <w:rsid w:val="00CF05D3"/>
    <w:rsid w:val="00D02606"/>
    <w:rsid w:val="00D4328A"/>
    <w:rsid w:val="00D4396D"/>
    <w:rsid w:val="00D60041"/>
    <w:rsid w:val="00D62508"/>
    <w:rsid w:val="00D91003"/>
    <w:rsid w:val="00DC35D1"/>
    <w:rsid w:val="00DC559A"/>
    <w:rsid w:val="00DE456D"/>
    <w:rsid w:val="00E015EC"/>
    <w:rsid w:val="00E402BB"/>
    <w:rsid w:val="00E40A86"/>
    <w:rsid w:val="00E52153"/>
    <w:rsid w:val="00E61BE7"/>
    <w:rsid w:val="00E661C7"/>
    <w:rsid w:val="00E85FDE"/>
    <w:rsid w:val="00E940EB"/>
    <w:rsid w:val="00E94D66"/>
    <w:rsid w:val="00E96644"/>
    <w:rsid w:val="00E974FA"/>
    <w:rsid w:val="00ED4F35"/>
    <w:rsid w:val="00EF5CBC"/>
    <w:rsid w:val="00F02D41"/>
    <w:rsid w:val="00F11351"/>
    <w:rsid w:val="00F12DC5"/>
    <w:rsid w:val="00F15522"/>
    <w:rsid w:val="00F2308F"/>
    <w:rsid w:val="00F237C4"/>
    <w:rsid w:val="00F24D94"/>
    <w:rsid w:val="00F313D4"/>
    <w:rsid w:val="00F3485F"/>
    <w:rsid w:val="00F358A9"/>
    <w:rsid w:val="00F36ACA"/>
    <w:rsid w:val="00F4017D"/>
    <w:rsid w:val="00F42DD4"/>
    <w:rsid w:val="00F54D5C"/>
    <w:rsid w:val="00F62245"/>
    <w:rsid w:val="00F72C33"/>
    <w:rsid w:val="00F77A03"/>
    <w:rsid w:val="00F84DA1"/>
    <w:rsid w:val="00F96926"/>
    <w:rsid w:val="00FA00F2"/>
    <w:rsid w:val="00FA79F7"/>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34610-DFB1-48F2-8EF2-4ED80756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1401</Words>
  <Characters>7709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2018-11-06T17:25:00Z</cp:lastPrinted>
  <dcterms:created xsi:type="dcterms:W3CDTF">2019-01-28T20:34:00Z</dcterms:created>
  <dcterms:modified xsi:type="dcterms:W3CDTF">2019-01-29T01:22:00Z</dcterms:modified>
</cp:coreProperties>
</file>